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03D" w:rsidRPr="00E27C35" w:rsidRDefault="002F503D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 РЕСПУБЛИКИ МОРДОВИЯ</w:t>
      </w:r>
    </w:p>
    <w:p w:rsidR="002F503D" w:rsidRPr="00E27C35" w:rsidRDefault="002F503D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27C3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F503D" w:rsidRPr="00E27C35" w:rsidRDefault="002F503D" w:rsidP="00E27C3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27C35">
        <w:rPr>
          <w:rFonts w:ascii="Times New Roman" w:hAnsi="Times New Roman" w:cs="Times New Roman"/>
          <w:sz w:val="28"/>
          <w:szCs w:val="28"/>
        </w:rPr>
        <w:t xml:space="preserve">01 декабря  2016 г. 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F503D" w:rsidRPr="00E27C35" w:rsidRDefault="002F503D" w:rsidP="00E27C3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27C35">
        <w:rPr>
          <w:rFonts w:ascii="Times New Roman" w:hAnsi="Times New Roman" w:cs="Times New Roman"/>
          <w:sz w:val="28"/>
          <w:szCs w:val="28"/>
        </w:rPr>
        <w:t>с. Старый Город</w:t>
      </w:r>
    </w:p>
    <w:p w:rsidR="002F503D" w:rsidRPr="008D33B7" w:rsidRDefault="002F503D" w:rsidP="00E27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503D" w:rsidRDefault="002F503D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политики  </w:t>
      </w:r>
      <w:r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на 201</w:t>
      </w:r>
      <w:r>
        <w:rPr>
          <w:rFonts w:ascii="Times New Roman" w:hAnsi="Times New Roman" w:cs="Times New Roman"/>
          <w:b/>
          <w:bCs/>
          <w:sz w:val="28"/>
          <w:szCs w:val="28"/>
        </w:rPr>
        <w:t>7 год и плановый период 2018 и 2019 годов</w:t>
      </w:r>
    </w:p>
    <w:p w:rsidR="002F503D" w:rsidRDefault="002F503D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3D" w:rsidRPr="00666262" w:rsidRDefault="002F503D" w:rsidP="00666262">
      <w:pPr>
        <w:pStyle w:val="12"/>
        <w:spacing w:line="360" w:lineRule="auto"/>
        <w:jc w:val="both"/>
        <w:rPr>
          <w:rFonts w:ascii="Times New Roman" w:hAnsi="Times New Roman" w:cs="Times New Roman"/>
        </w:rPr>
      </w:pPr>
      <w:r w:rsidRPr="00396BA3">
        <w:t xml:space="preserve">         </w:t>
      </w:r>
      <w:r w:rsidRPr="00666262">
        <w:rPr>
          <w:rFonts w:ascii="Times New Roman" w:hAnsi="Times New Roman" w:cs="Times New Roman"/>
        </w:rPr>
        <w:t>В соответствии со статьей 172 и 184.2 Бюджетного кодекса Российской Федерации Совет депутатов Старогородского сельского поселения  РЕШИЛ</w:t>
      </w:r>
      <w:r w:rsidRPr="00666262">
        <w:rPr>
          <w:rFonts w:ascii="Times New Roman" w:hAnsi="Times New Roman" w:cs="Times New Roman"/>
          <w:b/>
          <w:bCs/>
        </w:rPr>
        <w:t>:</w:t>
      </w:r>
    </w:p>
    <w:p w:rsidR="002F503D" w:rsidRPr="00396BA3" w:rsidRDefault="002F503D" w:rsidP="00436889">
      <w:pPr>
        <w:pStyle w:val="12"/>
        <w:spacing w:line="360" w:lineRule="auto"/>
        <w:jc w:val="both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 xml:space="preserve">         Утвердить прилагаемые Основные направления бюджетной политики Старогородского сельского поселения Темниковского муниципального района на 2017 год и плановый период 2018 и 2019 годов</w:t>
      </w: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F503D" w:rsidRDefault="002F503D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Старогородского  сельского поселения</w:t>
      </w:r>
    </w:p>
    <w:p w:rsidR="002F503D" w:rsidRDefault="002F503D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F503D" w:rsidRDefault="002F503D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М.Н.Долбилин</w:t>
      </w: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436889">
      <w:pPr>
        <w:pStyle w:val="12"/>
        <w:spacing w:line="360" w:lineRule="auto"/>
        <w:jc w:val="both"/>
      </w:pPr>
    </w:p>
    <w:p w:rsidR="002F503D" w:rsidRDefault="002F503D" w:rsidP="00C57F2D">
      <w:pPr>
        <w:pStyle w:val="12"/>
        <w:spacing w:line="360" w:lineRule="auto"/>
      </w:pPr>
    </w:p>
    <w:p w:rsidR="002F503D" w:rsidRDefault="002F503D" w:rsidP="00C57F2D">
      <w:pPr>
        <w:pStyle w:val="12"/>
        <w:spacing w:line="360" w:lineRule="auto"/>
      </w:pPr>
    </w:p>
    <w:p w:rsidR="002F503D" w:rsidRPr="00396BA3" w:rsidRDefault="002F503D" w:rsidP="00C57F2D">
      <w:pPr>
        <w:pStyle w:val="12"/>
        <w:jc w:val="right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>УТВЕРЖДЕНО</w:t>
      </w:r>
    </w:p>
    <w:p w:rsidR="002F503D" w:rsidRPr="00396BA3" w:rsidRDefault="002F503D" w:rsidP="00C57F2D">
      <w:pPr>
        <w:pStyle w:val="12"/>
        <w:jc w:val="right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 xml:space="preserve">Решением сессии </w:t>
      </w:r>
    </w:p>
    <w:p w:rsidR="002F503D" w:rsidRPr="00396BA3" w:rsidRDefault="002F503D" w:rsidP="00C57F2D">
      <w:pPr>
        <w:pStyle w:val="12"/>
        <w:jc w:val="right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>Совета депутатов Старогородского</w:t>
      </w:r>
    </w:p>
    <w:p w:rsidR="002F503D" w:rsidRPr="00396BA3" w:rsidRDefault="002F503D" w:rsidP="00C57F2D">
      <w:pPr>
        <w:pStyle w:val="12"/>
        <w:jc w:val="right"/>
        <w:rPr>
          <w:rFonts w:ascii="Times New Roman" w:hAnsi="Times New Roman" w:cs="Times New Roman"/>
        </w:rPr>
      </w:pPr>
      <w:r w:rsidRPr="00396BA3">
        <w:rPr>
          <w:rFonts w:ascii="Times New Roman" w:hAnsi="Times New Roman" w:cs="Times New Roman"/>
        </w:rPr>
        <w:t xml:space="preserve"> сельского поселения от 01.12.2016 года </w:t>
      </w:r>
    </w:p>
    <w:p w:rsidR="002F503D" w:rsidRPr="00396BA3" w:rsidRDefault="002F503D" w:rsidP="00436889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2F503D" w:rsidRPr="004766D7" w:rsidRDefault="002F503D" w:rsidP="00C57F2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2F503D" w:rsidRPr="00666262" w:rsidRDefault="002F503D" w:rsidP="0066626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666262">
        <w:rPr>
          <w:rFonts w:ascii="Times New Roman" w:hAnsi="Times New Roman" w:cs="Times New Roman"/>
          <w:sz w:val="28"/>
          <w:szCs w:val="28"/>
        </w:rPr>
        <w:t>Основные направления бюджетной политики Старог</w:t>
      </w:r>
      <w:r>
        <w:rPr>
          <w:rFonts w:ascii="Times New Roman" w:hAnsi="Times New Roman" w:cs="Times New Roman"/>
          <w:sz w:val="28"/>
          <w:szCs w:val="28"/>
        </w:rPr>
        <w:t xml:space="preserve">ородского сельского поселения  </w:t>
      </w:r>
      <w:r w:rsidRPr="0066626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2F503D" w:rsidRPr="00C57F2D" w:rsidRDefault="002F503D" w:rsidP="00C57F2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7F2D">
        <w:rPr>
          <w:rFonts w:ascii="Times New Roman" w:hAnsi="Times New Roman" w:cs="Times New Roman"/>
          <w:b/>
          <w:bCs/>
          <w:sz w:val="28"/>
          <w:szCs w:val="28"/>
        </w:rPr>
        <w:t>на 2016 год и плановый период 2018 и 2019 годов</w:t>
      </w:r>
    </w:p>
    <w:bookmarkEnd w:id="0"/>
    <w:p w:rsidR="002F503D" w:rsidRPr="000A7F53" w:rsidRDefault="002F503D" w:rsidP="00C57F2D">
      <w:pPr>
        <w:pStyle w:val="Heading1"/>
        <w:jc w:val="left"/>
        <w:rPr>
          <w:rFonts w:ascii="Times New Roman" w:hAnsi="Times New Roman" w:cs="Times New Roman"/>
          <w:sz w:val="28"/>
          <w:szCs w:val="28"/>
        </w:rPr>
      </w:pPr>
    </w:p>
    <w:p w:rsidR="002F503D" w:rsidRPr="003D3697" w:rsidRDefault="002F503D" w:rsidP="000A7F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Настоящие Основные направления бюджетной политики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t xml:space="preserve">2017 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разработаны в соответствии со статьей 172</w:t>
      </w:r>
      <w:r w:rsidRPr="00266C8C">
        <w:t xml:space="preserve"> </w:t>
      </w:r>
      <w:r w:rsidRPr="00266C8C">
        <w:rPr>
          <w:rFonts w:ascii="Times New Roman" w:hAnsi="Times New Roman" w:cs="Times New Roman"/>
          <w:sz w:val="28"/>
          <w:szCs w:val="28"/>
        </w:rPr>
        <w:t>и 184.2</w:t>
      </w:r>
      <w: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являются основой при составлении решения сессии Совета депутатов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"О бюджете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 поселения 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3D369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D36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03D" w:rsidRPr="00287744" w:rsidRDefault="002F503D" w:rsidP="00C57F2D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287744">
        <w:rPr>
          <w:rFonts w:ascii="Times New Roman" w:hAnsi="Times New Roman" w:cs="Times New Roman"/>
          <w:sz w:val="28"/>
          <w:szCs w:val="28"/>
        </w:rPr>
        <w:t>Итоги бюджетной политики в 2015 году и начале 2016 года</w:t>
      </w:r>
      <w:bookmarkEnd w:id="1"/>
    </w:p>
    <w:p w:rsidR="002F503D" w:rsidRPr="00392B96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B96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92B9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92B96">
        <w:rPr>
          <w:rFonts w:ascii="Times New Roman" w:hAnsi="Times New Roman" w:cs="Times New Roman"/>
          <w:sz w:val="28"/>
          <w:szCs w:val="28"/>
        </w:rPr>
        <w:t xml:space="preserve"> году был исполнен с </w:t>
      </w:r>
      <w:r>
        <w:rPr>
          <w:rFonts w:ascii="Times New Roman" w:hAnsi="Times New Roman" w:cs="Times New Roman"/>
          <w:sz w:val="28"/>
          <w:szCs w:val="28"/>
        </w:rPr>
        <w:t xml:space="preserve">дефицитом </w:t>
      </w:r>
      <w:r w:rsidRPr="00392B9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106</w:t>
      </w:r>
      <w:r w:rsidRPr="00392B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тыс. рублей. Муниципальный долгСтарогородского сельского поселения на 1 сентября 2016 года составил 84,9 т.р.</w:t>
      </w:r>
    </w:p>
    <w:p w:rsidR="002F503D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92B96">
        <w:rPr>
          <w:rFonts w:ascii="Times New Roman" w:hAnsi="Times New Roman" w:cs="Times New Roman"/>
          <w:sz w:val="28"/>
          <w:szCs w:val="28"/>
        </w:rPr>
        <w:t xml:space="preserve">        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92B96">
        <w:rPr>
          <w:rFonts w:ascii="Times New Roman" w:hAnsi="Times New Roman" w:cs="Times New Roman"/>
          <w:sz w:val="28"/>
          <w:szCs w:val="28"/>
        </w:rPr>
        <w:t xml:space="preserve"> году прирост доходов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92B96">
        <w:rPr>
          <w:rFonts w:ascii="Times New Roman" w:hAnsi="Times New Roman" w:cs="Times New Roman"/>
          <w:sz w:val="28"/>
          <w:szCs w:val="28"/>
        </w:rPr>
        <w:t xml:space="preserve"> сельского поселения от налоговых и неналоговых поступлений составил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92B96">
        <w:rPr>
          <w:rFonts w:ascii="Times New Roman" w:hAnsi="Times New Roman" w:cs="Times New Roman"/>
          <w:sz w:val="28"/>
          <w:szCs w:val="28"/>
        </w:rPr>
        <w:t xml:space="preserve"> % к уровню 201</w:t>
      </w:r>
      <w:r>
        <w:rPr>
          <w:rFonts w:ascii="Times New Roman" w:hAnsi="Times New Roman" w:cs="Times New Roman"/>
          <w:sz w:val="28"/>
          <w:szCs w:val="28"/>
        </w:rPr>
        <w:t>4 года.</w:t>
      </w:r>
    </w:p>
    <w:p w:rsidR="002F503D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первое полугодие 2016 года в бюджет поселения поступило 107,2 т.р.налоговых и неналоговых доходов, что составляет 42,5% к прогнозному назначению.</w:t>
      </w:r>
    </w:p>
    <w:p w:rsidR="002F503D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сфере оплаты труда среднемесячная номинальная начисленная заработная плата работников в 2015 года увеличилась  к уровню 2014 года на 3,1%.</w:t>
      </w:r>
    </w:p>
    <w:p w:rsidR="002F503D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Среднемесячная начисленная заработная плата в январе-июне 2016 года составила 15206 рублей и увеличилась по сравнению с аналогичным периодом 2015 года на 4,2%.</w:t>
      </w:r>
    </w:p>
    <w:p w:rsidR="002F503D" w:rsidRPr="00392B96" w:rsidRDefault="002F503D" w:rsidP="00716A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Среднемесячная заработная плата работников оценивается в 2016 году в 15257 рублей с ростом к уровню предыдущего года на 3,8%</w:t>
      </w:r>
    </w:p>
    <w:p w:rsidR="002F503D" w:rsidRPr="003D3697" w:rsidRDefault="002F503D" w:rsidP="004368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r w:rsidRPr="003D3697">
        <w:rPr>
          <w:rFonts w:ascii="Times New Roman" w:hAnsi="Times New Roman" w:cs="Times New Roman"/>
          <w:sz w:val="28"/>
          <w:szCs w:val="28"/>
        </w:rPr>
        <w:t xml:space="preserve"> проводится работа по совершенствованию механизма контроля финансовых потоков, оптимизации систем оплаты труда с акцентом на результат при соответствующем материальном вознаграждении. Созданы межведомственные комиссии, рассматривающие вопросы начисления и выплаты заработной платы. Реализация указанных мер позволила обеспечить годовой прирост реальной заработной платы граждан. Обеспечен рост заработной платы работников бюджетной сферы.</w:t>
      </w:r>
    </w:p>
    <w:p w:rsidR="002F503D" w:rsidRPr="003D3697" w:rsidRDefault="002F503D" w:rsidP="004368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Предоставление социальных гарантий, мер социальной поддержки отдельным категориям граждан осуществлено в установленных законом объемах. 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Бюджетная политика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была направлена на создание условий для   выполнения социальных обязательств перед гражданами </w:t>
      </w:r>
      <w:r>
        <w:rPr>
          <w:rFonts w:ascii="Times New Roman" w:hAnsi="Times New Roman" w:cs="Times New Roman"/>
          <w:sz w:val="28"/>
          <w:szCs w:val="28"/>
        </w:rPr>
        <w:t>поселения.</w:t>
      </w:r>
    </w:p>
    <w:p w:rsidR="002F503D" w:rsidRPr="003D3697" w:rsidRDefault="002F503D" w:rsidP="00436889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  Принятые  меры по обеспечению стабильности бюджетной системы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3697">
        <w:rPr>
          <w:rFonts w:ascii="Times New Roman" w:hAnsi="Times New Roman" w:cs="Times New Roman"/>
          <w:sz w:val="28"/>
          <w:szCs w:val="28"/>
        </w:rPr>
        <w:t>,  позволили не допустить  срывов в исполнении расходных обязательств, в полном объеме профинансировать первоочередные расходы на выплату заработной платы с начислениями, оказание мер социальной поддержки населению и другие социальные выплаты.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расходов и качества управления средствами   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</w:t>
      </w:r>
      <w:r w:rsidRPr="003D3697">
        <w:rPr>
          <w:rFonts w:ascii="Times New Roman" w:hAnsi="Times New Roman" w:cs="Times New Roman"/>
          <w:sz w:val="28"/>
          <w:szCs w:val="28"/>
        </w:rPr>
        <w:t xml:space="preserve">Темниковского  муниципального  района  Республики  Мордовия  проводится мониторинг качества финансового менеджмента, осуществляемого главными распорядителями бюджетных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</w:t>
      </w:r>
      <w:r w:rsidRPr="003D3697">
        <w:rPr>
          <w:rFonts w:ascii="Times New Roman" w:hAnsi="Times New Roman" w:cs="Times New Roman"/>
          <w:sz w:val="28"/>
          <w:szCs w:val="28"/>
        </w:rPr>
        <w:t>Темниковского  муниципального  района  Республики  Мордовия.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продолжен выбранный ранее курс стабильного развития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D3697">
        <w:rPr>
          <w:rFonts w:ascii="Times New Roman" w:hAnsi="Times New Roman" w:cs="Times New Roman"/>
          <w:sz w:val="28"/>
          <w:szCs w:val="28"/>
        </w:rPr>
        <w:t xml:space="preserve"> посредством реализации мероприятий, направленных на обеспечение устойчивого экономического роста, улучшение инвестиционного климата, создание условий для стимулирования инновационного развития и модернизации экономики, строительство объектов социальной сферы и инженерной инфраструктуры, повышение качества  муниципальных услуг, повышение уровня и качества жизни граждан.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В текущем году сохраняется положительная динамика по основным показателям, отражающим социально-экономическую ситуацию в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В целях обеспечения стабильной мобилизации  налоговых доходов  в районе проводятся мероприятия по повышению уровня собираемости доходов бюджета. Проводится анализ исполнения доходной части бюджета, состояния задолженности, структура и динамика.       </w:t>
      </w:r>
    </w:p>
    <w:p w:rsidR="002F503D" w:rsidRDefault="002F503D" w:rsidP="005427E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С целью обеспечения  прозрачности  процесса  расходования  бюджетных средств, в части осуществления  закупок для  муниципальных нужд, за  муниципальными  заказчиками  осуществляется  постоянный  контроль  соблюдения норм  и правил, установленных  Федеральным законом  «О размещении  заказов на поставки  товаров, выполнение работ, оказание  услуг  для государственных  и муниципальных нужд». В результате принимаемых мер  практически  все расходы  осуществлялись  по результатам  проведения  открытых конкурсов.  </w:t>
      </w:r>
      <w:bookmarkStart w:id="2" w:name="sub_1002"/>
    </w:p>
    <w:p w:rsidR="002F503D" w:rsidRPr="000A7F53" w:rsidRDefault="002F503D" w:rsidP="000A7F5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7F53">
        <w:rPr>
          <w:rFonts w:ascii="Times New Roman" w:hAnsi="Times New Roman" w:cs="Times New Roman"/>
          <w:sz w:val="28"/>
          <w:szCs w:val="28"/>
        </w:rPr>
        <w:t>Проводится работа по развитию системы бюджетного планирования, наращиванию доходного потенциала, оптимизации бюджетных расходов, совершенствованию системы межбюджетных отношений..</w:t>
      </w:r>
    </w:p>
    <w:p w:rsidR="002F503D" w:rsidRDefault="002F503D" w:rsidP="00266C8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C8C">
        <w:rPr>
          <w:rFonts w:ascii="Times New Roman" w:hAnsi="Times New Roman" w:cs="Times New Roman"/>
          <w:b/>
          <w:bCs/>
          <w:sz w:val="28"/>
          <w:szCs w:val="28"/>
        </w:rPr>
        <w:t>Основные цели и задачи бюджетной политики на 2017 год</w:t>
      </w:r>
      <w:bookmarkEnd w:id="2"/>
      <w:r w:rsidRPr="00266C8C">
        <w:rPr>
          <w:rFonts w:ascii="Times New Roman" w:hAnsi="Times New Roman" w:cs="Times New Roman"/>
          <w:b/>
          <w:bCs/>
          <w:sz w:val="28"/>
          <w:szCs w:val="28"/>
        </w:rPr>
        <w:t xml:space="preserve"> и плановый период 2018 и 2019 годов</w:t>
      </w:r>
    </w:p>
    <w:p w:rsidR="002F503D" w:rsidRPr="00266C8C" w:rsidRDefault="002F503D" w:rsidP="00266C8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Целью Основных направлений бюджетной и налоговой политики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является описание условий, принимаемых для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>7 и плановый период 2018 и 2019 годов</w:t>
      </w:r>
      <w:r w:rsidRPr="003D3697">
        <w:rPr>
          <w:rFonts w:ascii="Times New Roman" w:hAnsi="Times New Roman" w:cs="Times New Roman"/>
          <w:sz w:val="28"/>
          <w:szCs w:val="28"/>
        </w:rPr>
        <w:t xml:space="preserve">, основных подходов к его формированию и общего порядка разработки основных характеристик и прогнозируемых параметров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а также обеспечение прозрачности и открытости бюджетного планирования.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и налоговая политика должна быть ориентирована на обеспечение долгосрочной сбалансированности и финансовой устойчивости бюджетной системы, безусловное исполнение принятых обязательств, стабилизацию дефицита бюджета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его снижение 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годах, применение эффективных механизмов мобилизации и использования имеющихся финансовых ресурсов.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Объемы бюджетного финансирования должны быть увязаны с конкретными целями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Критерием измерения исполнения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должно стать достижение целей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на финансовое обеспечение которых направляются бюджетные средства.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Основными целями бюджетной политики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приоритетность реализации задач, поставленных в указах Президента Российской Федерации от 7 мая 2012 г.;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достижение долгосрочной сбалансированности и финансовой устойчивости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повышение налогового потенциала и обеспечение роста собственных доходов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на основе оптимизации и достижения наилучшего результата с использованием определенного бюджетом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объема средств, повышение доступности и качества предоставления государственных и муниципальных услуг;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снижение дефицита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и объема муниципального долга Темниковского муниципального района;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дальнейшее совершенствование и развитие системы межбюджетных отношений;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повышение эффективности муниципального финансового контроля;</w:t>
      </w:r>
    </w:p>
    <w:p w:rsidR="002F503D" w:rsidRPr="003D3697" w:rsidRDefault="002F503D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повышение открытости и прозрачности муниципальных финансов.</w:t>
      </w:r>
    </w:p>
    <w:p w:rsidR="002F503D" w:rsidRPr="003D3697" w:rsidRDefault="002F503D" w:rsidP="00436889">
      <w:pPr>
        <w:rPr>
          <w:rFonts w:ascii="Times New Roman" w:hAnsi="Times New Roman" w:cs="Times New Roman"/>
          <w:sz w:val="28"/>
          <w:szCs w:val="28"/>
        </w:rPr>
      </w:pPr>
    </w:p>
    <w:p w:rsidR="002F503D" w:rsidRDefault="002F503D" w:rsidP="0082684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1003"/>
      <w:r w:rsidRPr="00826840">
        <w:rPr>
          <w:rFonts w:ascii="Times New Roman" w:hAnsi="Times New Roman" w:cs="Times New Roman"/>
          <w:b/>
          <w:bCs/>
          <w:sz w:val="28"/>
          <w:szCs w:val="28"/>
        </w:rPr>
        <w:t xml:space="preserve">Бюджетная политика в области доходов на 2017 </w:t>
      </w:r>
    </w:p>
    <w:p w:rsidR="002F503D" w:rsidRDefault="002F503D" w:rsidP="0082684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6840">
        <w:rPr>
          <w:rFonts w:ascii="Times New Roman" w:hAnsi="Times New Roman" w:cs="Times New Roman"/>
          <w:b/>
          <w:bCs/>
          <w:sz w:val="28"/>
          <w:szCs w:val="28"/>
        </w:rPr>
        <w:t>и плановый период 2018 и 2019 годов</w:t>
      </w:r>
    </w:p>
    <w:p w:rsidR="002F503D" w:rsidRPr="00826840" w:rsidRDefault="002F503D" w:rsidP="0082684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3"/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В трехлетней перспективе (201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D3697">
        <w:rPr>
          <w:rFonts w:ascii="Times New Roman" w:hAnsi="Times New Roman" w:cs="Times New Roman"/>
          <w:sz w:val="28"/>
          <w:szCs w:val="28"/>
        </w:rPr>
        <w:t> гг.) основной целью бюджетной политики в области доходов остается повышение эффективности налоговой системы, обеспечивающей стимулирование инновационной деятельности, повышение предпринимательской активности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налогового потенциала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Мордовия, обеспечения сбалансированности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бюджетная политика в области доходов должна быть нацелена на динамичное поступление доходов в 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Мордовия, обеспечивающих текущие государственные компетенции и решение перспективных задач развития.</w:t>
      </w:r>
    </w:p>
    <w:p w:rsidR="002F503D" w:rsidRPr="003D3697" w:rsidRDefault="002F503D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Расчет прогноза доходной части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</w:t>
      </w:r>
      <w:r w:rsidRPr="003D36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 района Республики Мордовия должен проводиться с учетом изменений законодательства Российской Федерации при активном взаимодействии органов  местного самоуправления, а также на основании макроэкономических параметров развития районов.            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Доходная база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должна в полной мере обеспечивать реализацию масштабных задач, стоящих перед </w:t>
      </w:r>
      <w:r>
        <w:rPr>
          <w:rFonts w:ascii="Times New Roman" w:hAnsi="Times New Roman" w:cs="Times New Roman"/>
          <w:sz w:val="28"/>
          <w:szCs w:val="28"/>
        </w:rPr>
        <w:t>поселением</w:t>
      </w:r>
      <w:r w:rsidRPr="003D3697">
        <w:rPr>
          <w:rFonts w:ascii="Times New Roman" w:hAnsi="Times New Roman" w:cs="Times New Roman"/>
          <w:sz w:val="28"/>
          <w:szCs w:val="28"/>
        </w:rPr>
        <w:t xml:space="preserve">. Политика в области доходов, помимо присущей ей фискальной функции, должна также служить активным механизмом стимулирования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В условиях сложной экономической обстановки особенно остро встает задача создания стимулов для расширения  собственного доходного потенциала.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этих целях необходимо:</w:t>
      </w:r>
    </w:p>
    <w:p w:rsidR="002F503D" w:rsidRPr="003D3697" w:rsidRDefault="002F503D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>Своевременная и качественная подготовка к изменению законодательства в области налогообложения недвижимого имущества физических лиц;</w:t>
      </w:r>
    </w:p>
    <w:p w:rsidR="002F503D" w:rsidRPr="003D3697" w:rsidRDefault="002F503D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 xml:space="preserve">Обеспечение поступления штрафных санкций в 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в объеме начислений;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3D3697">
        <w:rPr>
          <w:rFonts w:ascii="Times New Roman" w:hAnsi="Times New Roman" w:cs="Times New Roman"/>
          <w:sz w:val="28"/>
          <w:szCs w:val="28"/>
        </w:rPr>
        <w:t>.  Активизировать  работу  администраторов доходов по сокращению недоимки  по налоговым   и неналоговым  платежам в бюджет, повысить уровень собираемости  доходов.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3D3697">
        <w:rPr>
          <w:rFonts w:ascii="Times New Roman" w:hAnsi="Times New Roman" w:cs="Times New Roman"/>
          <w:sz w:val="28"/>
          <w:szCs w:val="28"/>
        </w:rPr>
        <w:t xml:space="preserve">   Продолжить работу по сокращению масштабов уклонения от уплаты налогов, борьбе с нелегальной экономикой.</w:t>
      </w:r>
    </w:p>
    <w:p w:rsidR="002F503D" w:rsidRPr="003D3697" w:rsidRDefault="002F503D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>Организация работы по инвентаризации, регистрации имущества и земельных участков физических лиц, государственных и муниципальных учреждений и иных юридических лиц;</w:t>
      </w:r>
    </w:p>
    <w:p w:rsidR="002F503D" w:rsidRPr="003D3697" w:rsidRDefault="002F503D" w:rsidP="000A7F5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>. Стимулирование роста активности органов местного самоуправления в увеличении собственной доходной базы местных бюджетов, в том числе за счет привлечения инвестиций и развития малого и среднего бизнеса;</w:t>
      </w:r>
    </w:p>
    <w:p w:rsidR="002F503D" w:rsidRPr="000A7F53" w:rsidRDefault="002F503D" w:rsidP="000A7F5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sub_1004"/>
      <w:r w:rsidRPr="000A7F53">
        <w:rPr>
          <w:rFonts w:ascii="Times New Roman" w:hAnsi="Times New Roman" w:cs="Times New Roman"/>
          <w:sz w:val="28"/>
          <w:szCs w:val="28"/>
        </w:rPr>
        <w:t>Бюджетная политика в области расходов</w:t>
      </w:r>
    </w:p>
    <w:bookmarkEnd w:id="4"/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политика в области расходов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должна быть ориентирована на безусловную реализацию действующих обязательств с применением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за достижение заданных результатов в рамках ограниченных финансовых ресурсов.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Основополагающими принципами формирования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в плановом периоде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должны стать: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политики, определенных указами Президента Российской Федерации от 7 мая 2012 г., в том числе на повышение заработной платы работников бюджетной сферы;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2) адресность и целевой характер бюджетных средств за счет формирования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5) направление в первоочередном порядке дополнительных доходов и (или) экономию расходов при исполнении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7) повышение обоснованности механизмов реализации и ресурсного обеспечения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их ориентация на достижение долгосрочных целей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осуществление регулярного анализа эффективности реализации мероприятий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позволяющего обеспечить сокращение неэффективных расходов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8) повышение эффективности бюджетных расходов, в том числе за счет сокращения штатной численности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не менее чем на 10 процентов в целях оптимизации бюджетной сети и сокращения прочих неэффективных расходов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9) мониторинг обоснованности и целесообразности бюджетных расходов и их оценка;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10)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государственно-частного партнерства;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11) повышение муниципальными учреждениями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(повышение качества оказания услуг (выполнения работ), 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12) продолжение работы по переходу на "эффективный контракт",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13) обеспечение прозрачности бюджета, в том числе посредством публикации (размещения в информационно-телекоммуникационной сети "Интернет").</w:t>
      </w:r>
    </w:p>
    <w:p w:rsidR="002F503D" w:rsidRDefault="002F503D" w:rsidP="00266C8C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266C8C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  <w:bookmarkEnd w:id="5"/>
    </w:p>
    <w:p w:rsidR="002F503D" w:rsidRPr="00266C8C" w:rsidRDefault="002F503D" w:rsidP="00266C8C">
      <w:pPr>
        <w:rPr>
          <w:rFonts w:cs="Times New Roman"/>
        </w:rPr>
      </w:pP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политика в области межбюджетных отношений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будет направлена на обеспечение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Темнкиовского муниципального района 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7" w:history="1">
        <w:r w:rsidRPr="003D3697">
          <w:rPr>
            <w:rStyle w:val="a1"/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hyperlink r:id="rId8" w:history="1">
        <w:r w:rsidRPr="003D3697">
          <w:rPr>
            <w:rStyle w:val="a1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Республики Мордовия от 21 февраля 2008 г. N 4-З "О межбюджетных отношениях в Республике Мордовия".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обеспечение открытости и прозрачности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Темникосвского муниципального района, укрупнение межбюджетных трансфертов в рамках ключевых направлений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повышение качества предоставления муниципальных услуг.</w:t>
      </w:r>
    </w:p>
    <w:p w:rsidR="002F503D" w:rsidRPr="003D3697" w:rsidRDefault="002F503D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3D3697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Реализация политики в области управления муниципальным долгом в 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плановым</w:t>
      </w:r>
      <w:r w:rsidRPr="003D3697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D3697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 годах</w:t>
      </w:r>
      <w:r w:rsidRPr="003D3697">
        <w:rPr>
          <w:rFonts w:ascii="Times New Roman" w:hAnsi="Times New Roman" w:cs="Times New Roman"/>
          <w:sz w:val="28"/>
          <w:szCs w:val="28"/>
        </w:rPr>
        <w:t xml:space="preserve"> будет осуществляться в рамках решения следующих ключевых задач: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9" w:history="1">
        <w:r w:rsidRPr="003D3697">
          <w:rPr>
            <w:rStyle w:val="a1"/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с перспективой к снижению в среднесрочном периоде;</w:t>
      </w:r>
    </w:p>
    <w:p w:rsidR="002F503D" w:rsidRPr="003D3697" w:rsidRDefault="002F503D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2) снижение расходов на обслуживание муниципального долга.</w:t>
      </w:r>
    </w:p>
    <w:p w:rsidR="002F503D" w:rsidRPr="003D3697" w:rsidRDefault="002F503D" w:rsidP="00436889">
      <w:pPr>
        <w:pStyle w:val="12"/>
        <w:spacing w:line="360" w:lineRule="auto"/>
        <w:jc w:val="both"/>
      </w:pPr>
    </w:p>
    <w:p w:rsidR="002F503D" w:rsidRPr="003D3697" w:rsidRDefault="002F503D" w:rsidP="0043688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F503D" w:rsidRDefault="002F503D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F503D" w:rsidRDefault="002F503D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F503D" w:rsidRDefault="002F503D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М.Н.Долбилин</w:t>
      </w:r>
    </w:p>
    <w:sectPr w:rsidR="002F503D" w:rsidSect="00E3596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03D" w:rsidRDefault="002F503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F503D" w:rsidRDefault="002F503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03D" w:rsidRDefault="002F503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F503D" w:rsidRDefault="002F503D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3D" w:rsidRDefault="002F503D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9</w:t>
      </w:r>
    </w:fldSimple>
  </w:p>
  <w:p w:rsidR="002F503D" w:rsidRDefault="002F503D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62E5F"/>
    <w:rsid w:val="00077A29"/>
    <w:rsid w:val="000904AC"/>
    <w:rsid w:val="000A7B92"/>
    <w:rsid w:val="000A7F53"/>
    <w:rsid w:val="000D6BC0"/>
    <w:rsid w:val="000D7A3D"/>
    <w:rsid w:val="000E74CF"/>
    <w:rsid w:val="001039C6"/>
    <w:rsid w:val="0011101B"/>
    <w:rsid w:val="001174F9"/>
    <w:rsid w:val="00174F75"/>
    <w:rsid w:val="001A2034"/>
    <w:rsid w:val="001C6093"/>
    <w:rsid w:val="001E1BE6"/>
    <w:rsid w:val="001F3E91"/>
    <w:rsid w:val="0021311D"/>
    <w:rsid w:val="00216579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2B96"/>
    <w:rsid w:val="00396BA3"/>
    <w:rsid w:val="003C563F"/>
    <w:rsid w:val="003D3697"/>
    <w:rsid w:val="003D444E"/>
    <w:rsid w:val="003F4F9F"/>
    <w:rsid w:val="00410992"/>
    <w:rsid w:val="00436889"/>
    <w:rsid w:val="00444AFF"/>
    <w:rsid w:val="00447914"/>
    <w:rsid w:val="004540E7"/>
    <w:rsid w:val="00461544"/>
    <w:rsid w:val="004766D7"/>
    <w:rsid w:val="004837A8"/>
    <w:rsid w:val="00483F12"/>
    <w:rsid w:val="00485575"/>
    <w:rsid w:val="004B702B"/>
    <w:rsid w:val="004C3595"/>
    <w:rsid w:val="004C7B13"/>
    <w:rsid w:val="00512A8B"/>
    <w:rsid w:val="005427EF"/>
    <w:rsid w:val="0055385A"/>
    <w:rsid w:val="00584D51"/>
    <w:rsid w:val="005A2291"/>
    <w:rsid w:val="005A5ACB"/>
    <w:rsid w:val="005B4445"/>
    <w:rsid w:val="005D317E"/>
    <w:rsid w:val="005D32BA"/>
    <w:rsid w:val="005E7E32"/>
    <w:rsid w:val="005E7E64"/>
    <w:rsid w:val="00612B27"/>
    <w:rsid w:val="0063770F"/>
    <w:rsid w:val="00656DB3"/>
    <w:rsid w:val="00666262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22E62"/>
    <w:rsid w:val="0073119B"/>
    <w:rsid w:val="0075104A"/>
    <w:rsid w:val="0082588F"/>
    <w:rsid w:val="00826840"/>
    <w:rsid w:val="00866708"/>
    <w:rsid w:val="00872DA1"/>
    <w:rsid w:val="008905B0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B00CA"/>
    <w:rsid w:val="00AD2DF0"/>
    <w:rsid w:val="00B5733E"/>
    <w:rsid w:val="00B91D59"/>
    <w:rsid w:val="00B976F2"/>
    <w:rsid w:val="00BA31E1"/>
    <w:rsid w:val="00BD58FC"/>
    <w:rsid w:val="00BF56EB"/>
    <w:rsid w:val="00C57F2D"/>
    <w:rsid w:val="00C67166"/>
    <w:rsid w:val="00C7077D"/>
    <w:rsid w:val="00C77556"/>
    <w:rsid w:val="00C83310"/>
    <w:rsid w:val="00C83771"/>
    <w:rsid w:val="00C862E3"/>
    <w:rsid w:val="00CA3834"/>
    <w:rsid w:val="00CE466D"/>
    <w:rsid w:val="00D24A8B"/>
    <w:rsid w:val="00D326DB"/>
    <w:rsid w:val="00D47700"/>
    <w:rsid w:val="00DC02E2"/>
    <w:rsid w:val="00DC2974"/>
    <w:rsid w:val="00DD007C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0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/>
    </w:rPr>
  </w:style>
  <w:style w:type="character" w:styleId="Hyperlink">
    <w:name w:val="Hyperlink"/>
    <w:basedOn w:val="DefaultParagraphFont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1">
    <w:name w:val="Гипертекстовая ссылка"/>
    <w:basedOn w:val="DefaultParagraphFont"/>
    <w:uiPriority w:val="99"/>
    <w:rsid w:val="00436889"/>
    <w:rPr>
      <w:color w:val="106BBE"/>
    </w:rPr>
  </w:style>
  <w:style w:type="paragraph" w:customStyle="1" w:styleId="a">
    <w:name w:val="Знак"/>
    <w:basedOn w:val="Normal"/>
    <w:link w:val="DefaultParagraphFont"/>
    <w:uiPriority w:val="99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4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120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9</Pages>
  <Words>2689</Words>
  <Characters>15333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Тамара Николаевна</dc:creator>
  <cp:keywords/>
  <dc:description/>
  <cp:lastModifiedBy>user</cp:lastModifiedBy>
  <cp:revision>7</cp:revision>
  <cp:lastPrinted>2016-12-02T08:15:00Z</cp:lastPrinted>
  <dcterms:created xsi:type="dcterms:W3CDTF">2016-11-30T07:33:00Z</dcterms:created>
  <dcterms:modified xsi:type="dcterms:W3CDTF">2016-12-02T08:17:00Z</dcterms:modified>
</cp:coreProperties>
</file>