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7DB" w:rsidRPr="00A63018" w:rsidRDefault="00F167DB" w:rsidP="00F167DB">
      <w:pPr>
        <w:pStyle w:val="a5"/>
        <w:spacing w:after="0"/>
        <w:jc w:val="center"/>
        <w:rPr>
          <w:b/>
          <w:bCs/>
          <w:sz w:val="27"/>
          <w:szCs w:val="27"/>
        </w:rPr>
      </w:pPr>
      <w:r w:rsidRPr="00A63018">
        <w:rPr>
          <w:b/>
          <w:bCs/>
          <w:sz w:val="27"/>
          <w:szCs w:val="27"/>
        </w:rPr>
        <w:t>Выгодно ли каждый год менять организацию-страховщика?</w:t>
      </w:r>
    </w:p>
    <w:p w:rsidR="00F167DB" w:rsidRPr="002B0405" w:rsidRDefault="00F167DB" w:rsidP="00F167DB">
      <w:pPr>
        <w:pStyle w:val="3"/>
        <w:jc w:val="both"/>
        <w:rPr>
          <w:b w:val="0"/>
          <w:i/>
        </w:rPr>
      </w:pPr>
      <w:r w:rsidRPr="002B0405">
        <w:rPr>
          <w:b w:val="0"/>
          <w:i/>
        </w:rPr>
        <w:t xml:space="preserve">Граждане, у которых формируются средства пенсионных накоплений, вправе передавать эти средства организации-страховщику для инвестирования на финансовом рынке. Такой организацией может быть Пенсионный фонд РФ (ПФР) или негосударственный пенсионный фонд (НПФ). </w:t>
      </w:r>
    </w:p>
    <w:p w:rsidR="00F167DB" w:rsidRDefault="00F167DB" w:rsidP="00F167DB">
      <w:pPr>
        <w:pStyle w:val="a5"/>
        <w:jc w:val="both"/>
      </w:pPr>
      <w:bookmarkStart w:id="0" w:name="__RefHeading___Toc494182464"/>
      <w:bookmarkEnd w:id="0"/>
      <w:r>
        <w:rPr>
          <w:b/>
          <w:bCs/>
          <w:color w:val="000000"/>
        </w:rPr>
        <w:t>ПФР</w:t>
      </w:r>
      <w:r>
        <w:rPr>
          <w:color w:val="000000"/>
        </w:rPr>
        <w:t xml:space="preserve"> инвестирует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через государственную </w:t>
      </w:r>
      <w:r>
        <w:rPr>
          <w:b/>
          <w:bCs/>
          <w:color w:val="000000"/>
        </w:rPr>
        <w:t>управляющую компанию</w:t>
      </w:r>
      <w:r>
        <w:rPr>
          <w:color w:val="000000"/>
        </w:rPr>
        <w:t xml:space="preserve"> Внешэкономбанк и частные управляющие компании, с которыми заключен договор доверительного управления средствами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. Если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гражданина находятся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, то он может выбрать одну из таких </w:t>
      </w:r>
      <w:r>
        <w:rPr>
          <w:b/>
          <w:bCs/>
          <w:color w:val="000000"/>
        </w:rPr>
        <w:t>управляющих компаний</w:t>
      </w:r>
      <w:r>
        <w:rPr>
          <w:color w:val="000000"/>
        </w:rPr>
        <w:t xml:space="preserve">. </w:t>
      </w:r>
    </w:p>
    <w:p w:rsidR="00F167DB" w:rsidRDefault="00F167DB" w:rsidP="00F167DB">
      <w:pPr>
        <w:pStyle w:val="a5"/>
        <w:jc w:val="both"/>
      </w:pPr>
      <w:r>
        <w:rPr>
          <w:color w:val="000000"/>
        </w:rPr>
        <w:t xml:space="preserve">Не зависимо от выбранной </w:t>
      </w:r>
      <w:r>
        <w:rPr>
          <w:b/>
          <w:bCs/>
          <w:color w:val="000000"/>
        </w:rPr>
        <w:t>управляющей компании</w:t>
      </w:r>
      <w:r>
        <w:rPr>
          <w:color w:val="000000"/>
        </w:rPr>
        <w:t xml:space="preserve"> (частной или государственной) страховщиком остается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. Смена страховщика происходит только при переводе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из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в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, а также при переходе между </w:t>
      </w:r>
      <w:r>
        <w:rPr>
          <w:b/>
          <w:bCs/>
          <w:color w:val="000000"/>
        </w:rPr>
        <w:t>НПФ</w:t>
      </w:r>
      <w:r>
        <w:rPr>
          <w:color w:val="000000"/>
        </w:rPr>
        <w:t>.</w:t>
      </w:r>
    </w:p>
    <w:p w:rsidR="00F167DB" w:rsidRDefault="00F167DB" w:rsidP="00F167DB">
      <w:pPr>
        <w:pStyle w:val="a5"/>
        <w:jc w:val="both"/>
      </w:pPr>
      <w:r>
        <w:rPr>
          <w:color w:val="000000"/>
        </w:rPr>
        <w:t xml:space="preserve">Пользоваться правом на смену страховщика можно ежегодно. Существует два способа перехода от одного страховщика к другому: в следующем году («досрочный» переход) или через 5 лет путем подачи заявления о переходе. </w:t>
      </w:r>
    </w:p>
    <w:p w:rsidR="00F167DB" w:rsidRDefault="00F167DB" w:rsidP="00F167DB">
      <w:pPr>
        <w:pStyle w:val="a5"/>
        <w:jc w:val="both"/>
      </w:pPr>
      <w:r>
        <w:rPr>
          <w:color w:val="000000"/>
        </w:rPr>
        <w:t xml:space="preserve">Следует помнить, что смена страховщика чаще одного раза в 5 лет может повлечь потерю инвестиционного дохода, а в случае отрицательного результата инвестирования – уменьшение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на сумму инвестиционного убытка.</w:t>
      </w:r>
    </w:p>
    <w:p w:rsidR="00F167DB" w:rsidRDefault="00F167DB" w:rsidP="00F167DB">
      <w:pPr>
        <w:pStyle w:val="a5"/>
        <w:jc w:val="both"/>
      </w:pPr>
      <w:r>
        <w:rPr>
          <w:color w:val="000000"/>
        </w:rPr>
        <w:t xml:space="preserve">Исключение составляют застрахованные лица, подавшие заявление о досрочном переходе в год пятилетней фиксации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текущим страховщиком. Например, в 2017 году подать заявление о «досрочном» переходе могут те граждане, чьи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начали формироваться с 2013 года. </w:t>
      </w:r>
    </w:p>
    <w:p w:rsidR="00F167DB" w:rsidRDefault="00F167DB" w:rsidP="00F167DB">
      <w:pPr>
        <w:pStyle w:val="a5"/>
        <w:jc w:val="both"/>
        <w:rPr>
          <w:color w:val="000000"/>
        </w:rPr>
      </w:pPr>
      <w:r>
        <w:rPr>
          <w:color w:val="000000"/>
        </w:rPr>
        <w:t xml:space="preserve">Посмотреть вариант пенсионного обеспечения, а также страховщика, у которого находятся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можно в «Личном кабинете гражданина» на сайте </w:t>
      </w:r>
      <w:proofErr w:type="spellStart"/>
      <w:r>
        <w:rPr>
          <w:color w:val="000000"/>
        </w:rPr>
        <w:t>www.pfrf.ru</w:t>
      </w:r>
      <w:proofErr w:type="spellEnd"/>
      <w:r>
        <w:rPr>
          <w:color w:val="000000"/>
        </w:rPr>
        <w:t xml:space="preserve"> или на Едином портале </w:t>
      </w:r>
      <w:proofErr w:type="spellStart"/>
      <w:r>
        <w:rPr>
          <w:color w:val="000000"/>
        </w:rPr>
        <w:t>госуслуг</w:t>
      </w:r>
      <w:proofErr w:type="spellEnd"/>
      <w:r>
        <w:rPr>
          <w:color w:val="000000"/>
        </w:rPr>
        <w:t xml:space="preserve"> – </w:t>
      </w:r>
      <w:hyperlink r:id="rId4" w:history="1">
        <w:r w:rsidRPr="008102EF">
          <w:rPr>
            <w:rStyle w:val="a6"/>
          </w:rPr>
          <w:t>www.gosuslugi.ru</w:t>
        </w:r>
      </w:hyperlink>
      <w:r>
        <w:rPr>
          <w:color w:val="000000"/>
        </w:rPr>
        <w:t>.</w:t>
      </w:r>
    </w:p>
    <w:p w:rsidR="00D16D5A" w:rsidRDefault="00D16D5A"/>
    <w:sectPr w:rsidR="00D16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F167DB"/>
    <w:rsid w:val="00D16D5A"/>
    <w:rsid w:val="00F16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167DB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6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67D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F167D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Normal (Web)"/>
    <w:basedOn w:val="a"/>
    <w:uiPriority w:val="99"/>
    <w:semiHidden/>
    <w:unhideWhenUsed/>
    <w:rsid w:val="00F167D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F167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cp:lastPrinted>2017-11-29T13:57:00Z</cp:lastPrinted>
  <dcterms:created xsi:type="dcterms:W3CDTF">2017-11-29T13:54:00Z</dcterms:created>
  <dcterms:modified xsi:type="dcterms:W3CDTF">2017-11-29T13:58:00Z</dcterms:modified>
</cp:coreProperties>
</file>