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E1F" w:rsidRDefault="00862E1F" w:rsidP="00862E1F">
      <w:pPr>
        <w:pStyle w:val="3"/>
        <w:jc w:val="center"/>
      </w:pPr>
      <w:r>
        <w:t>НПФ не в состоянии обеспечить рост пенсионных накоплений: доходность личных счетов ниже инфляции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Рынок негосударственных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 переживает этап активного развития. Налицо все признаки: усиление конкуренции, слияния и поглощения, увеличение количества клиентов. Консалтинговая компания «Пенсионные и Актуарные Консультации» совместно с ассоциацией «Альянс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» подготовила информацию о динамике рынка, а также о доходности фондов за несколько последних лет. Специфика рынка такова, что он не имеет региональных границ: всё происходящее в масштабах России имеет прямое отношение к каждому будущему </w:t>
      </w:r>
      <w:r>
        <w:rPr>
          <w:b/>
          <w:bCs/>
          <w:color w:val="000000"/>
        </w:rPr>
        <w:t>пенсионеру</w:t>
      </w:r>
      <w:r>
        <w:rPr>
          <w:color w:val="000000"/>
        </w:rPr>
        <w:t>.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Побежали в </w:t>
      </w:r>
      <w:r>
        <w:rPr>
          <w:b/>
          <w:bCs/>
          <w:color w:val="000000"/>
        </w:rPr>
        <w:t>НПФ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Как указано в исследовании, количество негосударственных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 (Н</w:t>
      </w:r>
      <w:r>
        <w:rPr>
          <w:b/>
          <w:bCs/>
          <w:color w:val="000000"/>
        </w:rPr>
        <w:t>ПФ</w:t>
      </w:r>
      <w:r>
        <w:rPr>
          <w:color w:val="000000"/>
        </w:rPr>
        <w:t xml:space="preserve">) в России продолжает сокращаться. Фактически на рынке происходит зачистка, не уступающая по масштабу </w:t>
      </w:r>
      <w:proofErr w:type="gramStart"/>
      <w:r>
        <w:rPr>
          <w:color w:val="000000"/>
        </w:rPr>
        <w:t>банковской</w:t>
      </w:r>
      <w:proofErr w:type="gramEnd"/>
      <w:r>
        <w:rPr>
          <w:color w:val="000000"/>
        </w:rPr>
        <w:t xml:space="preserve">: за последние три года количество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сократилось почти вдвое, за 10 лет — в 3,7 раза. Основные причины такой динамики — постоянное повышение регуляторных требований, которое наиболее чувствительно для небольших фондов, и процесс слияний и поглощений. В настоящее время в России действует 68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с обязательным </w:t>
      </w:r>
      <w:r>
        <w:rPr>
          <w:b/>
          <w:bCs/>
          <w:color w:val="000000"/>
        </w:rPr>
        <w:t>пенсионным страхованием</w:t>
      </w:r>
      <w:r>
        <w:rPr>
          <w:color w:val="000000"/>
        </w:rPr>
        <w:t xml:space="preserve"> работают 38 из них.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В результате концентрация на рынке растёт. Объём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под управлением топ-10 Н</w:t>
      </w:r>
      <w:r>
        <w:rPr>
          <w:b/>
          <w:bCs/>
          <w:color w:val="000000"/>
        </w:rPr>
        <w:t>ПФ</w:t>
      </w:r>
      <w:r>
        <w:rPr>
          <w:color w:val="000000"/>
        </w:rPr>
        <w:t xml:space="preserve"> за год увеличился на 376 </w:t>
      </w:r>
      <w:proofErr w:type="spellStart"/>
      <w:proofErr w:type="gramStart"/>
      <w:r>
        <w:rPr>
          <w:color w:val="000000"/>
        </w:rPr>
        <w:t>млрд</w:t>
      </w:r>
      <w:proofErr w:type="spellEnd"/>
      <w:proofErr w:type="gramEnd"/>
      <w:r>
        <w:rPr>
          <w:color w:val="000000"/>
        </w:rPr>
        <w:t xml:space="preserve"> руб., или на 23%, а их доля среди всех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возросла на 2,5 процентных пункта — с 81 до 84%. Особенно по итогам 2016 года укрепили свои позиции </w:t>
      </w:r>
      <w:proofErr w:type="spellStart"/>
      <w:r>
        <w:rPr>
          <w:color w:val="000000"/>
        </w:rPr>
        <w:t>квазигосударственные</w:t>
      </w:r>
      <w:proofErr w:type="spellEnd"/>
      <w:r>
        <w:rPr>
          <w:color w:val="000000"/>
        </w:rPr>
        <w:t xml:space="preserve"> </w:t>
      </w:r>
      <w:r>
        <w:rPr>
          <w:b/>
          <w:bCs/>
          <w:color w:val="000000"/>
        </w:rPr>
        <w:t>пенсионные фонды</w:t>
      </w:r>
      <w:r>
        <w:rPr>
          <w:color w:val="000000"/>
        </w:rPr>
        <w:t xml:space="preserve"> (то есть имеющие частную форму собственности, но контролируемые государством). В связи с этим Счётная палата даже отметила риски возникновения монопольного положения среди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Общее количество клиентов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 тоже постепенно сокращается — из-за моратория на формирование новых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Зато среди тех, кто уже находится в системе, растёт доверие к негосударственному сектору: свои накопления в негосударственные </w:t>
      </w:r>
      <w:r>
        <w:rPr>
          <w:b/>
          <w:bCs/>
          <w:color w:val="000000"/>
        </w:rPr>
        <w:t>пенсионные фонды</w:t>
      </w:r>
      <w:r>
        <w:rPr>
          <w:color w:val="000000"/>
        </w:rPr>
        <w:t xml:space="preserve"> перевели более половины россиян 1967 года рождения и младше. В результате клиентская база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даже растёт.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Рост интереса к негосударственному сектору привёл не только к росту количества переводов </w:t>
      </w:r>
      <w:r>
        <w:rPr>
          <w:b/>
          <w:bCs/>
          <w:color w:val="000000"/>
        </w:rPr>
        <w:t>пенсий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Пенсионного фонда России</w:t>
      </w:r>
      <w:r>
        <w:rPr>
          <w:color w:val="000000"/>
        </w:rPr>
        <w:t xml:space="preserve"> (</w:t>
      </w:r>
      <w:r>
        <w:rPr>
          <w:b/>
          <w:bCs/>
          <w:color w:val="000000"/>
        </w:rPr>
        <w:t>ПФР</w:t>
      </w:r>
      <w:r>
        <w:rPr>
          <w:color w:val="000000"/>
        </w:rPr>
        <w:t>) в Н</w:t>
      </w:r>
      <w:r>
        <w:rPr>
          <w:b/>
          <w:bCs/>
          <w:color w:val="000000"/>
        </w:rPr>
        <w:t>ПФ</w:t>
      </w:r>
      <w:r>
        <w:rPr>
          <w:color w:val="000000"/>
        </w:rPr>
        <w:t xml:space="preserve">. Увеличилось также и количество переходов из одного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в другой. По данным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за первые семь месяцев этого года свои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перевели 2,5 </w:t>
      </w:r>
      <w:proofErr w:type="spellStart"/>
      <w:proofErr w:type="gramStart"/>
      <w:r>
        <w:rPr>
          <w:color w:val="000000"/>
        </w:rPr>
        <w:t>млн</w:t>
      </w:r>
      <w:proofErr w:type="spellEnd"/>
      <w:proofErr w:type="gramEnd"/>
      <w:r>
        <w:rPr>
          <w:color w:val="000000"/>
        </w:rPr>
        <w:t xml:space="preserve"> человек — это почти в три раза больше, чем год назад. А заявления на смену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написали почти 2 </w:t>
      </w:r>
      <w:proofErr w:type="spellStart"/>
      <w:proofErr w:type="gramStart"/>
      <w:r>
        <w:rPr>
          <w:color w:val="000000"/>
        </w:rPr>
        <w:t>млн</w:t>
      </w:r>
      <w:proofErr w:type="spellEnd"/>
      <w:proofErr w:type="gramEnd"/>
      <w:r>
        <w:rPr>
          <w:color w:val="000000"/>
        </w:rPr>
        <w:t xml:space="preserve"> человек, тогда как за тот же период прошлого года — только 729 тыс.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Закономерный вопрос: имеет ли такое движение смысл? Выше ли доходность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и если да, то насколько? Если же всё-таки оставлять свои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имеет смысл выбрать для них частную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(УК) или доверить государственной УК?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>В борьбе с инфляцией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Если судить по 2016 году, то наибольшая средняя доходность была получена по тем </w:t>
      </w:r>
      <w:r>
        <w:rPr>
          <w:b/>
          <w:bCs/>
          <w:color w:val="000000"/>
        </w:rPr>
        <w:t>пенсионным накоплениям</w:t>
      </w:r>
      <w:r>
        <w:rPr>
          <w:color w:val="000000"/>
        </w:rPr>
        <w:t xml:space="preserve">, которые находились в государственном фонде, но управлялись частными фондами. </w:t>
      </w:r>
      <w:proofErr w:type="gramStart"/>
      <w:r>
        <w:rPr>
          <w:color w:val="000000"/>
        </w:rPr>
        <w:t xml:space="preserve">Она составила 13,84%. Самую низкую среднюю </w:t>
      </w:r>
      <w:r>
        <w:rPr>
          <w:color w:val="000000"/>
        </w:rPr>
        <w:lastRenderedPageBreak/>
        <w:t xml:space="preserve">доходность показали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— 9,44%. Впрочем, доходность во всех трёх вариантах, включая самый пассивный (средства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и управляются государственной УК), преодолела инфляцию: она составила 10,74% при годовой инфляции 5,39%. Всюду речь идёт именно о чистой доходности, начисленной на пенсионные счета.</w:t>
      </w:r>
      <w:proofErr w:type="gramEnd"/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Но в каждом сегменте разброс доходности колеблется в зависимости от УК или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. Кроме того, доходность за один год </w:t>
      </w:r>
      <w:proofErr w:type="spellStart"/>
      <w:r>
        <w:rPr>
          <w:color w:val="000000"/>
        </w:rPr>
        <w:t>малоинформативна</w:t>
      </w:r>
      <w:proofErr w:type="spellEnd"/>
      <w:r>
        <w:rPr>
          <w:color w:val="000000"/>
        </w:rPr>
        <w:t xml:space="preserve">, ведь размещение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— это долгосрочный проект. Больший интерес представляют собой данные о накопленной доходности за последние пять лет.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И здесь выясняется, что ни один способ управления собственными </w:t>
      </w:r>
      <w:r>
        <w:rPr>
          <w:b/>
          <w:bCs/>
          <w:color w:val="000000"/>
        </w:rPr>
        <w:t>пенсионными накоплениями</w:t>
      </w:r>
      <w:r>
        <w:rPr>
          <w:color w:val="000000"/>
        </w:rPr>
        <w:t xml:space="preserve"> не дал дохода. Из-за кризиса последних лет накопленная инфляция оказалась очень высокой — она превысила 50%. Ближе всего к этой отметке приблизилась доходность, которая была получена на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, оставшиеся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но управлявшиеся частными УК, — 49,72%. Если накопления управлялись частной УК, доходность была </w:t>
      </w:r>
      <w:proofErr w:type="gramStart"/>
      <w:r>
        <w:rPr>
          <w:color w:val="000000"/>
        </w:rPr>
        <w:t>несколько</w:t>
      </w:r>
      <w:proofErr w:type="gramEnd"/>
      <w:r>
        <w:rPr>
          <w:color w:val="000000"/>
        </w:rPr>
        <w:t xml:space="preserve"> ниже — 48,29%. Сегмент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вновь показал наименьшую доходность, которая значительно отстала от темпов инфляции, — 42,81%. Только два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имеют накопленную за пять лет доходность, превышающую темпы инфляции.</w:t>
      </w:r>
    </w:p>
    <w:p w:rsidR="00862E1F" w:rsidRDefault="00862E1F" w:rsidP="00862E1F">
      <w:pPr>
        <w:pStyle w:val="a3"/>
        <w:jc w:val="both"/>
      </w:pPr>
      <w:r>
        <w:rPr>
          <w:color w:val="000000"/>
        </w:rPr>
        <w:t xml:space="preserve">В то же время среди частных УК таких примеров гораздо больше — примерно половина. А лидеры по доходности за пять лет заработали для владельцев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70—80% от суммы накоплений.</w:t>
      </w:r>
    </w:p>
    <w:p w:rsidR="00862E1F" w:rsidRDefault="00862E1F" w:rsidP="00862E1F">
      <w:pPr>
        <w:pStyle w:val="a3"/>
        <w:jc w:val="both"/>
        <w:rPr>
          <w:color w:val="000000"/>
        </w:rPr>
      </w:pPr>
      <w:r>
        <w:rPr>
          <w:color w:val="000000"/>
        </w:rPr>
        <w:t xml:space="preserve">Столь заметная разница в доходности объясняется более консервативной инвестиционной стратегией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по сравнению с УК. Судя по данным, приведённым в исследовании, последние в меньшей степени задействуют депозиты, зато в гораздо большей — фондовые инструменты (федеральные, субфедеральные и негосударственные облигации).</w:t>
      </w:r>
    </w:p>
    <w:p w:rsidR="00284897" w:rsidRDefault="00284897"/>
    <w:sectPr w:rsidR="00284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862E1F"/>
    <w:rsid w:val="00284897"/>
    <w:rsid w:val="00862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2E1F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62E1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62E1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2017-11-29T13:56:00Z</dcterms:modified>
</cp:coreProperties>
</file>