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AE" w:rsidRPr="002D3EAE" w:rsidRDefault="002D3EAE" w:rsidP="002D3EAE">
      <w:pPr>
        <w:pStyle w:val="a5"/>
        <w:spacing w:after="0"/>
        <w:jc w:val="center"/>
        <w:rPr>
          <w:b/>
        </w:rPr>
      </w:pPr>
      <w:r w:rsidRPr="002D3EAE">
        <w:rPr>
          <w:b/>
        </w:rPr>
        <w:t>В ПФР рассказали, как можно инвестировать накопительные средства</w:t>
      </w:r>
    </w:p>
    <w:p w:rsidR="002D3EAE" w:rsidRPr="002D3EAE" w:rsidRDefault="002D3EAE" w:rsidP="002D3EAE">
      <w:pPr>
        <w:pStyle w:val="3"/>
        <w:jc w:val="both"/>
        <w:rPr>
          <w:b w:val="0"/>
          <w:i/>
        </w:rPr>
      </w:pPr>
      <w:r w:rsidRPr="002D3EAE">
        <w:rPr>
          <w:b w:val="0"/>
          <w:i/>
        </w:rPr>
        <w:t xml:space="preserve">Граждане, у которых формируются средства пенсионных накоплений, вправе передавать их организации-страховщику для инвестирования на финансовом рынке. </w:t>
      </w:r>
    </w:p>
    <w:p w:rsidR="002D3EAE" w:rsidRDefault="002D3EAE" w:rsidP="002D3EAE">
      <w:pPr>
        <w:pStyle w:val="a5"/>
        <w:jc w:val="both"/>
      </w:pPr>
      <w:bookmarkStart w:id="0" w:name="__RefHeading___Toc494096189"/>
      <w:bookmarkEnd w:id="0"/>
      <w:r>
        <w:rPr>
          <w:color w:val="000000"/>
        </w:rPr>
        <w:t xml:space="preserve">В ПФР пояснили, что такой организацией может быть </w:t>
      </w:r>
      <w:r>
        <w:rPr>
          <w:b/>
          <w:bCs/>
          <w:color w:val="000000"/>
        </w:rPr>
        <w:t>Пенсионный фонд РФ</w:t>
      </w:r>
      <w:r>
        <w:rPr>
          <w:color w:val="000000"/>
        </w:rPr>
        <w:t xml:space="preserve"> (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) или негосударственный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 (</w:t>
      </w:r>
      <w:r>
        <w:rPr>
          <w:b/>
          <w:bCs/>
          <w:color w:val="000000"/>
        </w:rPr>
        <w:t>НПФ</w:t>
      </w:r>
      <w:r>
        <w:rPr>
          <w:color w:val="000000"/>
        </w:rPr>
        <w:t>).</w:t>
      </w:r>
    </w:p>
    <w:p w:rsidR="002D3EAE" w:rsidRDefault="002D3EAE" w:rsidP="002D3EAE">
      <w:pPr>
        <w:pStyle w:val="a5"/>
        <w:jc w:val="both"/>
      </w:pPr>
      <w:r>
        <w:rPr>
          <w:b/>
          <w:bCs/>
          <w:color w:val="000000"/>
        </w:rPr>
        <w:t>ПФР</w:t>
      </w:r>
      <w:r>
        <w:rPr>
          <w:color w:val="000000"/>
        </w:rPr>
        <w:t xml:space="preserve"> инвестирует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государственную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Внешэкономбанк и частные управляющие компании, с которыми заключен договор доверительного управления средствами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Если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человека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то он может выбрать одну из таких </w:t>
      </w:r>
      <w:r>
        <w:rPr>
          <w:b/>
          <w:bCs/>
          <w:color w:val="000000"/>
        </w:rPr>
        <w:t>управляющих компаний</w:t>
      </w:r>
      <w:r>
        <w:rPr>
          <w:color w:val="000000"/>
        </w:rPr>
        <w:t>.</w:t>
      </w:r>
    </w:p>
    <w:p w:rsidR="002D3EAE" w:rsidRDefault="002D3EAE" w:rsidP="002D3EAE">
      <w:pPr>
        <w:pStyle w:val="a5"/>
        <w:jc w:val="both"/>
      </w:pPr>
      <w:r>
        <w:rPr>
          <w:color w:val="000000"/>
        </w:rPr>
        <w:t xml:space="preserve">При этом независимо от выбранной </w:t>
      </w:r>
      <w:r>
        <w:rPr>
          <w:b/>
          <w:bCs/>
          <w:color w:val="000000"/>
        </w:rPr>
        <w:t>управляющей компании</w:t>
      </w:r>
      <w:r>
        <w:rPr>
          <w:color w:val="000000"/>
        </w:rPr>
        <w:t xml:space="preserve"> (частной или государственной) страховщиком остается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Смена страховщика происходит только при переводе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а также при переходе между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2D3EAE" w:rsidRDefault="002D3EAE" w:rsidP="002D3EAE">
      <w:pPr>
        <w:pStyle w:val="a5"/>
        <w:jc w:val="both"/>
      </w:pPr>
      <w:r>
        <w:rPr>
          <w:color w:val="000000"/>
        </w:rPr>
        <w:t>Пользоваться правом на смену страховщика можно ежегодно. Существует два способа перехода от одного страховщика к другому: в следующем году - это «досрочный» переход или через 5 лет путем подачи заявления о переходе.</w:t>
      </w:r>
    </w:p>
    <w:p w:rsidR="002D3EAE" w:rsidRDefault="002D3EAE" w:rsidP="002D3EAE">
      <w:pPr>
        <w:pStyle w:val="a5"/>
        <w:jc w:val="both"/>
      </w:pPr>
      <w:r>
        <w:rPr>
          <w:color w:val="000000"/>
        </w:rPr>
        <w:t xml:space="preserve">Нужно иметь </w:t>
      </w:r>
      <w:proofErr w:type="gramStart"/>
      <w:r>
        <w:rPr>
          <w:color w:val="000000"/>
        </w:rPr>
        <w:t>ввиду</w:t>
      </w:r>
      <w:proofErr w:type="gramEnd"/>
      <w:r>
        <w:rPr>
          <w:color w:val="000000"/>
        </w:rPr>
        <w:t xml:space="preserve">, что </w:t>
      </w:r>
      <w:proofErr w:type="gramStart"/>
      <w:r>
        <w:rPr>
          <w:color w:val="000000"/>
        </w:rPr>
        <w:t>смена</w:t>
      </w:r>
      <w:proofErr w:type="gramEnd"/>
      <w:r>
        <w:rPr>
          <w:color w:val="000000"/>
        </w:rPr>
        <w:t xml:space="preserve">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на сумму инвестиционного убытка. Исключение составляют застрахованные лица, подавшие заявление о досрочном переходе в год пятилетней фиксации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текущим страховщиком. Например, в 2017 году подать заявление о «досрочном» переходе могут те граждане, чьи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начали формироваться с 2013 года.</w:t>
      </w:r>
    </w:p>
    <w:p w:rsidR="002D3EAE" w:rsidRDefault="002D3EAE" w:rsidP="002D3EAE">
      <w:pPr>
        <w:pStyle w:val="a5"/>
        <w:jc w:val="both"/>
        <w:rPr>
          <w:color w:val="000000"/>
        </w:rPr>
      </w:pPr>
      <w:r>
        <w:rPr>
          <w:color w:val="000000"/>
        </w:rPr>
        <w:t xml:space="preserve">Ознакомиться с вариантом пенсионного обеспечения, а также получить сведения о страховщике, у которого находятся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можно в «Личном кабинете гражданина»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или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– </w:t>
      </w:r>
      <w:hyperlink r:id="rId4" w:history="1">
        <w:r w:rsidRPr="008102EF">
          <w:rPr>
            <w:rStyle w:val="a6"/>
          </w:rPr>
          <w:t>www.gosuslugi.ru</w:t>
        </w:r>
      </w:hyperlink>
    </w:p>
    <w:sectPr w:rsidR="002D3EAE" w:rsidSect="00103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632E38"/>
    <w:rsid w:val="000C4BAF"/>
    <w:rsid w:val="000D5198"/>
    <w:rsid w:val="00103661"/>
    <w:rsid w:val="001710F8"/>
    <w:rsid w:val="001A0D6E"/>
    <w:rsid w:val="001A5DA1"/>
    <w:rsid w:val="00231B94"/>
    <w:rsid w:val="00271216"/>
    <w:rsid w:val="002B0405"/>
    <w:rsid w:val="002D3EAE"/>
    <w:rsid w:val="00366DFA"/>
    <w:rsid w:val="004102DA"/>
    <w:rsid w:val="00632E38"/>
    <w:rsid w:val="00A63018"/>
    <w:rsid w:val="00BC6494"/>
    <w:rsid w:val="00EE2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61"/>
  </w:style>
  <w:style w:type="paragraph" w:styleId="3">
    <w:name w:val="heading 3"/>
    <w:basedOn w:val="a"/>
    <w:link w:val="30"/>
    <w:uiPriority w:val="9"/>
    <w:qFormat/>
    <w:rsid w:val="00632E38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E3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632E3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632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B04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011MikheevAY</dc:creator>
  <cp:lastModifiedBy>011MikheevAY</cp:lastModifiedBy>
  <cp:revision>2</cp:revision>
  <cp:lastPrinted>2017-09-29T05:49:00Z</cp:lastPrinted>
  <dcterms:created xsi:type="dcterms:W3CDTF">2017-11-29T14:03:00Z</dcterms:created>
  <dcterms:modified xsi:type="dcterms:W3CDTF">2017-11-29T14:03:00Z</dcterms:modified>
</cp:coreProperties>
</file>