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FC9" w:rsidRPr="00C17FC9" w:rsidRDefault="00C17FC9" w:rsidP="00C17FC9">
      <w:pPr>
        <w:spacing w:after="60"/>
        <w:ind w:right="-1"/>
        <w:jc w:val="right"/>
        <w:rPr>
          <w:sz w:val="26"/>
          <w:szCs w:val="26"/>
        </w:rPr>
      </w:pPr>
      <w:bookmarkStart w:id="0" w:name="_GoBack"/>
      <w:bookmarkEnd w:id="0"/>
      <w:r w:rsidRPr="00C17FC9">
        <w:rPr>
          <w:b/>
          <w:bCs/>
          <w:color w:val="000000"/>
          <w:spacing w:val="-3"/>
          <w:sz w:val="28"/>
          <w:szCs w:val="24"/>
        </w:rPr>
        <w:t>УТВЕРЖДАЮ:</w:t>
      </w:r>
    </w:p>
    <w:p w:rsidR="00C17FC9" w:rsidRPr="00C17FC9" w:rsidRDefault="00C17FC9" w:rsidP="00C17FC9">
      <w:pPr>
        <w:spacing w:after="60"/>
        <w:ind w:right="-1"/>
        <w:jc w:val="right"/>
        <w:rPr>
          <w:color w:val="000000"/>
          <w:sz w:val="28"/>
          <w:szCs w:val="28"/>
        </w:rPr>
      </w:pPr>
      <w:r w:rsidRPr="00C17FC9">
        <w:rPr>
          <w:color w:val="000000"/>
          <w:sz w:val="28"/>
          <w:szCs w:val="28"/>
        </w:rPr>
        <w:t xml:space="preserve">Глава Темниковского </w:t>
      </w:r>
    </w:p>
    <w:p w:rsidR="00C17FC9" w:rsidRPr="00C17FC9" w:rsidRDefault="00C17FC9" w:rsidP="00C17FC9">
      <w:pPr>
        <w:spacing w:after="60"/>
        <w:ind w:right="-1"/>
        <w:jc w:val="right"/>
        <w:rPr>
          <w:sz w:val="28"/>
          <w:szCs w:val="28"/>
        </w:rPr>
      </w:pPr>
      <w:r w:rsidRPr="00C17FC9">
        <w:rPr>
          <w:color w:val="000000"/>
          <w:sz w:val="28"/>
          <w:szCs w:val="28"/>
        </w:rPr>
        <w:t>муниципального района</w:t>
      </w:r>
    </w:p>
    <w:p w:rsidR="00C17FC9" w:rsidRPr="00C17FC9" w:rsidRDefault="00C17FC9" w:rsidP="00C17FC9">
      <w:pPr>
        <w:spacing w:after="60"/>
        <w:ind w:right="-1"/>
        <w:jc w:val="right"/>
        <w:rPr>
          <w:sz w:val="28"/>
          <w:szCs w:val="28"/>
        </w:rPr>
      </w:pPr>
      <w:r w:rsidRPr="00C17FC9">
        <w:rPr>
          <w:sz w:val="28"/>
          <w:szCs w:val="28"/>
        </w:rPr>
        <w:t xml:space="preserve">                                               ___________________ /С. Н. Кизим/</w:t>
      </w:r>
    </w:p>
    <w:p w:rsidR="00C17FC9" w:rsidRPr="00C17FC9" w:rsidRDefault="00C17FC9" w:rsidP="00C17FC9">
      <w:pPr>
        <w:framePr w:hSpace="180" w:wrap="around" w:vAnchor="page" w:hAnchor="page" w:x="8821" w:y="2761"/>
        <w:jc w:val="right"/>
        <w:rPr>
          <w:sz w:val="28"/>
          <w:szCs w:val="28"/>
        </w:rPr>
      </w:pPr>
      <w:r w:rsidRPr="00C17FC9">
        <w:rPr>
          <w:sz w:val="28"/>
          <w:szCs w:val="28"/>
        </w:rPr>
        <w:t>«__»_________ 2019 г.</w:t>
      </w:r>
    </w:p>
    <w:p w:rsidR="00C17FC9" w:rsidRPr="00C17FC9" w:rsidRDefault="00C17FC9" w:rsidP="00C17FC9">
      <w:pPr>
        <w:widowControl w:val="0"/>
        <w:spacing w:line="360" w:lineRule="auto"/>
        <w:jc w:val="right"/>
        <w:outlineLvl w:val="3"/>
        <w:rPr>
          <w:b/>
          <w:bCs/>
          <w:caps/>
          <w:sz w:val="24"/>
          <w:szCs w:val="24"/>
        </w:rPr>
      </w:pPr>
    </w:p>
    <w:p w:rsidR="00C17FC9" w:rsidRPr="00C17FC9" w:rsidRDefault="00C17FC9" w:rsidP="00C17FC9">
      <w:pPr>
        <w:rPr>
          <w:b/>
          <w:bCs/>
          <w:caps/>
          <w:sz w:val="24"/>
          <w:szCs w:val="24"/>
        </w:rPr>
      </w:pPr>
    </w:p>
    <w:p w:rsidR="00C17FC9" w:rsidRDefault="00C17FC9" w:rsidP="003C4CFA">
      <w:pPr>
        <w:spacing w:after="60"/>
        <w:jc w:val="center"/>
        <w:rPr>
          <w:b/>
          <w:sz w:val="22"/>
          <w:szCs w:val="22"/>
          <w:lang w:eastAsia="ar-SA"/>
        </w:rPr>
      </w:pPr>
    </w:p>
    <w:p w:rsidR="003C4CFA" w:rsidRPr="00C24AF4" w:rsidRDefault="00C17FC9" w:rsidP="003C4CFA">
      <w:pPr>
        <w:spacing w:after="60"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РАЗДЕЛ 2. </w:t>
      </w:r>
      <w:r w:rsidR="003C4CFA" w:rsidRPr="00C24AF4">
        <w:rPr>
          <w:b/>
          <w:sz w:val="22"/>
          <w:szCs w:val="22"/>
          <w:lang w:eastAsia="ar-SA"/>
        </w:rPr>
        <w:t>ТЕХНИЧЕСКОЕ ЗАДАНИЕ</w:t>
      </w:r>
    </w:p>
    <w:p w:rsidR="003C4CFA" w:rsidRPr="00C24AF4" w:rsidRDefault="003C4CFA" w:rsidP="003C4CFA">
      <w:pPr>
        <w:spacing w:after="60"/>
        <w:jc w:val="center"/>
        <w:rPr>
          <w:b/>
          <w:sz w:val="22"/>
          <w:szCs w:val="22"/>
          <w:lang w:eastAsia="ar-SA"/>
        </w:rPr>
      </w:pPr>
      <w:r w:rsidRPr="00C24AF4">
        <w:rPr>
          <w:b/>
          <w:sz w:val="22"/>
          <w:szCs w:val="22"/>
          <w:lang w:eastAsia="ar-SA"/>
        </w:rPr>
        <w:t xml:space="preserve"> </w:t>
      </w:r>
    </w:p>
    <w:p w:rsidR="003C4CFA" w:rsidRPr="00C17FC9" w:rsidRDefault="003C4CFA" w:rsidP="003C4CFA">
      <w:pPr>
        <w:spacing w:after="60"/>
        <w:jc w:val="center"/>
        <w:rPr>
          <w:sz w:val="24"/>
          <w:szCs w:val="22"/>
          <w:lang w:eastAsia="ar-SA"/>
        </w:rPr>
      </w:pPr>
      <w:r w:rsidRPr="00C17FC9">
        <w:rPr>
          <w:sz w:val="24"/>
          <w:szCs w:val="22"/>
          <w:lang w:eastAsia="ar-SA"/>
        </w:rPr>
        <w:t xml:space="preserve">На Выполнение работ по проектированию объекта «Рекультивация свалки твердых бытовых отходов </w:t>
      </w:r>
      <w:r w:rsidR="00E40EAE" w:rsidRPr="00C17FC9">
        <w:rPr>
          <w:sz w:val="24"/>
          <w:szCs w:val="22"/>
          <w:lang w:eastAsia="ar-SA"/>
        </w:rPr>
        <w:t>Темниковс</w:t>
      </w:r>
      <w:r w:rsidRPr="00C17FC9">
        <w:rPr>
          <w:sz w:val="24"/>
          <w:szCs w:val="22"/>
          <w:lang w:eastAsia="ar-SA"/>
        </w:rPr>
        <w:t>кого муниципального района»</w:t>
      </w:r>
    </w:p>
    <w:tbl>
      <w:tblPr>
        <w:tblW w:w="1034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410"/>
        <w:gridCol w:w="7937"/>
      </w:tblGrid>
      <w:tr w:rsidR="003C4CFA" w:rsidRPr="00C17FC9" w:rsidTr="00C17FC9">
        <w:trPr>
          <w:trHeight w:val="1294"/>
        </w:trPr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bCs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Наименование и вид объекта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4D3BDE" w:rsidP="00E40EAE">
            <w:pPr>
              <w:ind w:left="33" w:right="34"/>
              <w:jc w:val="both"/>
              <w:rPr>
                <w:sz w:val="24"/>
                <w:szCs w:val="24"/>
              </w:rPr>
            </w:pPr>
            <w:r w:rsidRPr="00C17FC9">
              <w:rPr>
                <w:sz w:val="24"/>
                <w:szCs w:val="22"/>
                <w:lang w:eastAsia="ar-SA"/>
              </w:rPr>
              <w:t>Выполнение работ по проектированию объекта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3C4CFA" w:rsidRPr="00C17FC9">
              <w:rPr>
                <w:b/>
                <w:bCs/>
                <w:sz w:val="24"/>
                <w:szCs w:val="24"/>
              </w:rPr>
              <w:t xml:space="preserve">«Рекультивация свалки твердых бытовых отходов </w:t>
            </w:r>
            <w:r w:rsidR="00E40EAE" w:rsidRPr="00C17FC9">
              <w:rPr>
                <w:b/>
                <w:bCs/>
                <w:sz w:val="24"/>
                <w:szCs w:val="24"/>
              </w:rPr>
              <w:t>Темниковского муниципального района</w:t>
            </w:r>
            <w:r w:rsidR="003C4CFA" w:rsidRPr="00C17FC9">
              <w:rPr>
                <w:b/>
                <w:bCs/>
                <w:sz w:val="24"/>
                <w:szCs w:val="24"/>
              </w:rPr>
              <w:t>»</w:t>
            </w:r>
          </w:p>
        </w:tc>
      </w:tr>
      <w:tr w:rsidR="003C4CFA" w:rsidRPr="00C17FC9" w:rsidTr="00C17FC9">
        <w:trPr>
          <w:trHeight w:val="703"/>
        </w:trPr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 Unicode MS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t>Данные о местоположении объекта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40EAE" w:rsidRPr="00C17FC9" w:rsidRDefault="00E40EAE" w:rsidP="00E40EAE">
            <w:pPr>
              <w:ind w:left="317" w:right="34" w:hanging="284"/>
              <w:jc w:val="both"/>
              <w:rPr>
                <w:b/>
                <w:bCs/>
                <w:sz w:val="24"/>
                <w:szCs w:val="24"/>
              </w:rPr>
            </w:pPr>
            <w:r w:rsidRPr="00C17FC9">
              <w:rPr>
                <w:b/>
                <w:bCs/>
                <w:sz w:val="24"/>
                <w:szCs w:val="24"/>
              </w:rPr>
              <w:t>Республика Мордовия, Темниковский район, д. Дегтярево, 250 м. по направлению на юго-запад</w:t>
            </w:r>
          </w:p>
          <w:p w:rsidR="003C4CFA" w:rsidRPr="00C17FC9" w:rsidRDefault="00E40EAE" w:rsidP="000F193F">
            <w:pPr>
              <w:ind w:left="317" w:right="34" w:hanging="284"/>
              <w:jc w:val="both"/>
              <w:rPr>
                <w:sz w:val="24"/>
                <w:szCs w:val="24"/>
              </w:rPr>
            </w:pPr>
            <w:r w:rsidRPr="00C17FC9">
              <w:rPr>
                <w:sz w:val="24"/>
                <w:szCs w:val="24"/>
              </w:rPr>
              <w:t>13:19:0221001:36</w:t>
            </w:r>
          </w:p>
        </w:tc>
      </w:tr>
      <w:tr w:rsidR="003C4CFA" w:rsidRPr="00C17FC9" w:rsidTr="00C17FC9">
        <w:trPr>
          <w:trHeight w:val="676"/>
        </w:trPr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t>Основания для проектирования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D81D31" w:rsidP="00662192">
            <w:pPr>
              <w:ind w:left="317" w:right="34" w:hanging="284"/>
              <w:jc w:val="both"/>
              <w:rPr>
                <w:b/>
                <w:sz w:val="24"/>
                <w:szCs w:val="24"/>
              </w:rPr>
            </w:pPr>
            <w:r w:rsidRPr="00C17FC9">
              <w:rPr>
                <w:b/>
                <w:sz w:val="24"/>
                <w:szCs w:val="24"/>
              </w:rPr>
              <w:t>Муниципальная программа «Охрана окружающей среды и повышение экологической безопасности на территории Темниковского муниципального района Республики Мордовия»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 Unicode MS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t>Сведения об участке и планировочных ограничениях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E40EAE" w:rsidP="000F193F">
            <w:pPr>
              <w:ind w:left="317" w:right="34" w:hanging="284"/>
              <w:jc w:val="both"/>
              <w:rPr>
                <w:sz w:val="24"/>
                <w:szCs w:val="24"/>
              </w:rPr>
            </w:pPr>
            <w:r w:rsidRPr="00C17FC9">
              <w:rPr>
                <w:sz w:val="24"/>
                <w:szCs w:val="24"/>
              </w:rPr>
              <w:t>Границы участка проектирования принять в соответствии с кадастровым паспортом земельного участка</w:t>
            </w:r>
          </w:p>
        </w:tc>
      </w:tr>
      <w:tr w:rsidR="003C4CFA" w:rsidRPr="00C17FC9" w:rsidTr="00C17FC9">
        <w:trPr>
          <w:trHeight w:val="1037"/>
        </w:trPr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 Unicode MS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t>Наименование и местонахождение Заказчика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40EAE" w:rsidRPr="00C17FC9" w:rsidRDefault="00E40EAE" w:rsidP="00E40EAE">
            <w:pPr>
              <w:ind w:left="317" w:right="34" w:hanging="284"/>
              <w:jc w:val="both"/>
              <w:rPr>
                <w:sz w:val="24"/>
                <w:szCs w:val="24"/>
              </w:rPr>
            </w:pPr>
            <w:r w:rsidRPr="00C17FC9">
              <w:rPr>
                <w:sz w:val="24"/>
                <w:szCs w:val="24"/>
              </w:rPr>
              <w:t>Администрация Темниковского муниципального района;</w:t>
            </w:r>
          </w:p>
          <w:p w:rsidR="003C4CFA" w:rsidRPr="00C17FC9" w:rsidRDefault="00E40EAE" w:rsidP="00E40EAE">
            <w:pPr>
              <w:ind w:left="317" w:right="34" w:hanging="284"/>
              <w:jc w:val="both"/>
              <w:rPr>
                <w:sz w:val="24"/>
                <w:szCs w:val="24"/>
              </w:rPr>
            </w:pPr>
            <w:r w:rsidRPr="00C17FC9">
              <w:rPr>
                <w:sz w:val="24"/>
                <w:szCs w:val="24"/>
              </w:rPr>
              <w:t xml:space="preserve"> Республика Мордовия, г. Темников, ул. Кирова, д.26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"/>
                <w:bCs/>
                <w:color w:val="000000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t>Функциональное назначение, уровень ответственности зданий и сооружений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ind w:left="317" w:right="34" w:hanging="284"/>
              <w:jc w:val="both"/>
              <w:rPr>
                <w:sz w:val="24"/>
                <w:szCs w:val="24"/>
              </w:rPr>
            </w:pPr>
            <w:r w:rsidRPr="00C17FC9">
              <w:rPr>
                <w:rFonts w:eastAsia="Arial" w:cs="Arial"/>
                <w:spacing w:val="-10"/>
                <w:sz w:val="24"/>
                <w:szCs w:val="24"/>
              </w:rPr>
              <w:t>Уровень ответственности – нормальный, согласно ст. 4 Федерального закона от 30.12.2009 г. № 384-ФЗ «Технический регламент о безопасности зданий и сооружений»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t>Вид строительства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ind w:left="317" w:right="34" w:hanging="284"/>
              <w:jc w:val="both"/>
              <w:rPr>
                <w:sz w:val="24"/>
                <w:szCs w:val="24"/>
              </w:rPr>
            </w:pPr>
            <w:r w:rsidRPr="00C17FC9">
              <w:rPr>
                <w:rFonts w:cs="Arial"/>
                <w:bCs/>
                <w:spacing w:val="-10"/>
                <w:sz w:val="24"/>
                <w:szCs w:val="24"/>
              </w:rPr>
              <w:t>Рекультивация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Сведения об этапе работ, сроках проектирования, строительства и эксплуатации объекта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ind w:left="317" w:right="34" w:hanging="284"/>
              <w:jc w:val="both"/>
              <w:rPr>
                <w:rFonts w:eastAsia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 xml:space="preserve">Согласно Постановлению Правительства РФ № 87 от 16.02.2008 г. «О составе разделов проектной документации и требований к их содержанию» проектирование осуществляется в 2 (две) стадии: </w:t>
            </w:r>
          </w:p>
          <w:p w:rsidR="003C4CFA" w:rsidRPr="00C17FC9" w:rsidRDefault="003C4CFA" w:rsidP="000F193F">
            <w:pPr>
              <w:widowControl w:val="0"/>
              <w:ind w:left="317" w:right="34" w:hanging="284"/>
              <w:jc w:val="both"/>
              <w:rPr>
                <w:rFonts w:eastAsia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•</w:t>
            </w: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ab/>
              <w:t>Проектная документация;</w:t>
            </w:r>
          </w:p>
          <w:p w:rsidR="003C4CFA" w:rsidRPr="00C17FC9" w:rsidRDefault="003C4CFA" w:rsidP="000F193F">
            <w:pPr>
              <w:widowControl w:val="0"/>
              <w:ind w:left="317" w:right="34" w:hanging="284"/>
              <w:jc w:val="both"/>
              <w:rPr>
                <w:rFonts w:eastAsia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•</w:t>
            </w: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ab/>
              <w:t>Рабочая документация.</w:t>
            </w:r>
          </w:p>
          <w:p w:rsidR="003C4CFA" w:rsidRPr="00C17FC9" w:rsidRDefault="003C4CFA" w:rsidP="000F193F">
            <w:pPr>
              <w:widowControl w:val="0"/>
              <w:ind w:left="317" w:right="34" w:hanging="284"/>
              <w:jc w:val="both"/>
              <w:rPr>
                <w:rFonts w:eastAsia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Разработка и согласование проектной документации в соответствии с проектом контракта.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 Unicode MS"/>
                <w:color w:val="00000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t>Сведения и данные о проектируемом объекте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5"/>
              </w:numPr>
              <w:ind w:left="317" w:right="34" w:hanging="284"/>
              <w:jc w:val="both"/>
              <w:rPr>
                <w:rFonts w:eastAsia="Arial Unicode MS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 Unicode MS"/>
                <w:spacing w:val="-10"/>
                <w:sz w:val="24"/>
                <w:szCs w:val="24"/>
                <w:lang w:eastAsia="ar-SA"/>
              </w:rPr>
              <w:t>Рекультивируемая свалка ТБО</w:t>
            </w:r>
          </w:p>
          <w:p w:rsidR="003C4CFA" w:rsidRPr="00C17FC9" w:rsidRDefault="003C4CFA" w:rsidP="000F193F">
            <w:pPr>
              <w:widowControl w:val="0"/>
              <w:ind w:left="33" w:right="34"/>
              <w:jc w:val="both"/>
              <w:rPr>
                <w:rFonts w:ascii="Arial" w:eastAsia="Arial Unicode MS" w:hAnsi="Arial" w:cs="Arial"/>
                <w:spacing w:val="-10"/>
                <w:sz w:val="24"/>
                <w:szCs w:val="24"/>
                <w:lang w:eastAsia="ar-SA"/>
              </w:rPr>
            </w:pP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 w:hanging="142"/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t>Проектная мощность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3"/>
              </w:numPr>
              <w:tabs>
                <w:tab w:val="clear" w:pos="432"/>
                <w:tab w:val="left" w:pos="720"/>
              </w:tabs>
              <w:ind w:left="317" w:right="34" w:hanging="284"/>
              <w:jc w:val="both"/>
              <w:rPr>
                <w:rFonts w:eastAsia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Площадь, зан</w:t>
            </w:r>
            <w:r w:rsidR="00E40EAE"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имаемая существующей свалкой – 2,46</w:t>
            </w: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га;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3"/>
              </w:numPr>
              <w:tabs>
                <w:tab w:val="clear" w:pos="432"/>
                <w:tab w:val="left" w:pos="720"/>
              </w:tabs>
              <w:ind w:left="317" w:right="34" w:hanging="284"/>
              <w:jc w:val="both"/>
              <w:rPr>
                <w:rFonts w:eastAsia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Год образования свалки – 196</w:t>
            </w:r>
            <w:r w:rsidR="00E40EAE"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9</w:t>
            </w:r>
            <w:r w:rsidRPr="00C17FC9">
              <w:rPr>
                <w:rFonts w:eastAsia="Arial"/>
                <w:spacing w:val="-10"/>
                <w:sz w:val="24"/>
                <w:szCs w:val="24"/>
                <w:lang w:val="en-US" w:eastAsia="ar-SA"/>
              </w:rPr>
              <w:t>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3"/>
              </w:numPr>
              <w:tabs>
                <w:tab w:val="clear" w:pos="432"/>
                <w:tab w:val="left" w:pos="720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Высота слоя ТБО на проектируемом полигоне –определяется проектом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0C3364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"/>
                <w:bCs/>
                <w:color w:val="000000"/>
                <w:spacing w:val="-10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lastRenderedPageBreak/>
              <w:t>Подрядчик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keepNext/>
              <w:shd w:val="clear" w:color="auto" w:fill="FFFFFF"/>
              <w:tabs>
                <w:tab w:val="num" w:pos="432"/>
              </w:tabs>
              <w:ind w:left="317" w:right="34" w:hanging="284"/>
              <w:jc w:val="both"/>
              <w:outlineLvl w:val="0"/>
              <w:rPr>
                <w:kern w:val="28"/>
                <w:sz w:val="24"/>
                <w:szCs w:val="24"/>
                <w:lang w:eastAsia="ru-RU"/>
              </w:rPr>
            </w:pPr>
            <w:r w:rsidRPr="00C17FC9">
              <w:rPr>
                <w:rFonts w:eastAsia="Arial"/>
                <w:bCs/>
                <w:spacing w:val="-10"/>
                <w:kern w:val="28"/>
                <w:sz w:val="24"/>
                <w:szCs w:val="24"/>
                <w:lang w:eastAsia="ru-RU"/>
              </w:rPr>
              <w:t>Определяется по результатам открытого конкурса</w:t>
            </w:r>
            <w:r w:rsidR="004D3BDE">
              <w:rPr>
                <w:rFonts w:eastAsia="Arial"/>
                <w:bCs/>
                <w:spacing w:val="-10"/>
                <w:kern w:val="28"/>
                <w:sz w:val="24"/>
                <w:szCs w:val="24"/>
                <w:lang w:eastAsia="ru-RU"/>
              </w:rPr>
              <w:t xml:space="preserve"> в электронной форме</w:t>
            </w:r>
            <w:r w:rsidRPr="00C17FC9">
              <w:rPr>
                <w:rFonts w:eastAsia="Arial"/>
                <w:bCs/>
                <w:spacing w:val="-10"/>
                <w:kern w:val="28"/>
                <w:sz w:val="24"/>
                <w:szCs w:val="24"/>
                <w:lang w:eastAsia="ru-RU"/>
              </w:rPr>
              <w:t xml:space="preserve"> в соответствии с порядком, утверждённым </w:t>
            </w:r>
            <w:r w:rsidRPr="00C17FC9">
              <w:rPr>
                <w:kern w:val="28"/>
                <w:sz w:val="24"/>
                <w:szCs w:val="24"/>
                <w:lang w:eastAsia="ru-RU"/>
              </w:rPr>
              <w:t>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4"/>
              </w:numPr>
              <w:tabs>
                <w:tab w:val="clear" w:pos="0"/>
                <w:tab w:val="left" w:pos="284"/>
                <w:tab w:val="num" w:pos="318"/>
              </w:tabs>
              <w:ind w:left="318"/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t>Система координат</w:t>
            </w:r>
            <w:r w:rsidRPr="00C17FC9"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br/>
              <w:t>Система высот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209"/>
              </w:tabs>
              <w:ind w:left="317" w:right="34"/>
              <w:jc w:val="both"/>
              <w:rPr>
                <w:rFonts w:eastAsia="Arial Unicode MS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 Unicode MS"/>
                <w:spacing w:val="-10"/>
                <w:sz w:val="24"/>
                <w:szCs w:val="24"/>
                <w:lang w:eastAsia="ar-SA"/>
              </w:rPr>
              <w:t>Балтийская , МСК -13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284"/>
              </w:tabs>
              <w:rPr>
                <w:rFonts w:eastAsia="Arial"/>
                <w:b/>
                <w:bCs/>
                <w:color w:val="0000FF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t>13. Цели и виды инженерных изысканий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Выполнить изыскания в соответствии с действующим законодательством.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 xml:space="preserve">- Инженерно-геодезические изыскания в соответствии с СП 47.13330.2016 «Свод правил. Инженерные изыскания для строительства. Основные положения. Актуализированная редакция СНиП 11-02-96» (утв. и введен в действие Приказом Минстроя России от 30.12.2016 N 1033/пр), включающие 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проведение топографической съёмки свалки ТБО;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получение разрешения на выполнение необходимых инженерных изысканий;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по окончании работ передать Заказчику геодезическую основу с проведением контрольной съемки.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Съемка земляного участка свалки ТБО.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Инженерно - геологические изыскания в соответствии с СП-11-105- 97 «Инженерно - геологические изыскания для строительства. Часть I. Общие правила производства работ» предусматривающие бурение скважин (количество и глубина определяются проектом, обеспечивающие комплексное изучение инженерно - геологических условий участка свалки ТБО, включая рельеф, геологическое строение, геоморфологические и гидрогеологические условия, состав, состояние и свойства грунтов, геологические и инженерно - геологические процессы, изменение условий освоенных территорий.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гидрогеологическое наблюдение при бурении скважин;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отбор проб воды с поверхности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комплексное определение физических свойств для глинистых грунтов;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комплексное определение физических свойств для песчаных грунтов;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комплексное определение физических свойств для тела свалки ТБО;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сокращенный анализ воды (с учетом газо-химических исследований);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камеральная обработка химического и бактериологического состава воды;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камеральная обработка материалов лабораторных исследований глинистых, песчаных грунтов и тела свалки ТБО;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составление инженерно - геологического отчета.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Все работы должны быть выполнены и оформлены согласно требованиям: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топографо-геодезическая съемка выполняется в масштабе 1:500 с сечением рельефа 0,5 м.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Система координат местная (Балтийская.).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Инженерно-экологические изыскания: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-Сбор, обработка и анализ опубликованных и фондовых материалов и данных о состоянии природной среды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-Маршрутные наблюдения с покомпонентным описанием природной среды и ландшафтов в целом, состояния наземных и водных экосистем, источников и признаков загрязнения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-Почвенные исследования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 xml:space="preserve">-Геоэкологическое опробование и оценка загрязненности атмосферного воздуха, почв, грунтов, поверхностных и подземных вод, в том числе: 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1.Опробование и оценка загрязненности атмосферного воздуха;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2.Опробование и оценка загрязненности почв и грунтов;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3.Опробование и оценка загрязненности поверхностных и подземных вод.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-Исследование и оценка радиационной обстановки, в том числе: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1.Оценка гамма-фона на территории объекта;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2.Оценка радоноопасности территории объекта.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-Исследования и оценка физических воздействий: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1. Измерения шума;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-Камеральная обработка материалов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-Составление технического отчета</w:t>
            </w:r>
          </w:p>
          <w:p w:rsidR="003C4CFA" w:rsidRPr="00C17FC9" w:rsidRDefault="003C4CFA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284"/>
                <w:tab w:val="left" w:pos="351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14</w:t>
            </w:r>
            <w:r w:rsidRPr="00C17FC9">
              <w:rPr>
                <w:rFonts w:eastAsia="Arial"/>
                <w:color w:val="000000"/>
                <w:spacing w:val="-10"/>
                <w:sz w:val="24"/>
                <w:szCs w:val="24"/>
                <w:lang w:eastAsia="ar-SA"/>
              </w:rPr>
              <w:t>. Перечень основных нормативных документов, в соответствии с требованиями которых необходимо выполнить инженерные изыскания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1.</w:t>
            </w: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ab/>
              <w:t>Инструкция по проектированию, эксплуатации и рекультивации полигонов для твердых бытовых отходов, утвержденная Министерством строительства Российской Федерации 2 ноября 1996 г.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color w:val="000000"/>
                <w:sz w:val="24"/>
                <w:szCs w:val="24"/>
                <w:lang w:eastAsia="ar-SA"/>
              </w:rPr>
              <w:t>2.</w:t>
            </w:r>
            <w:r w:rsidRPr="00C17FC9">
              <w:rPr>
                <w:rFonts w:eastAsia="Arial"/>
                <w:b/>
                <w:bCs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Постановление Правительства Российской Федерации от 19.01.2006 г. № 20 «Об инженерных изысканиях для подготовки проектной документации, строительства, реконструкции объектов капитального строительства».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3.</w:t>
            </w:r>
            <w:r w:rsidRPr="00C17FC9">
              <w:rPr>
                <w:rFonts w:eastAsia="Arial Unicode MS"/>
                <w:spacing w:val="-10"/>
                <w:sz w:val="24"/>
                <w:szCs w:val="24"/>
                <w:lang w:eastAsia="ar-SA"/>
              </w:rPr>
              <w:t xml:space="preserve"> Иные действующие нормативно-правовые акты в области охраны окружающей среды.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284"/>
                <w:tab w:val="left" w:pos="351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15. Требования к составу и оформлению проектной документации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1. Состав и оформление проектной документации необходимо выполнить в соответствии с: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•</w:t>
            </w: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ab/>
              <w:t>Градостроительным Кодексом Российской Федерации;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•</w:t>
            </w: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ab/>
              <w:t>Гражданским кодексом РФ;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Федеральным законом РФ № 89-ФЗ от 24.06.1998 г. «Об отходах производства и потребления»;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16.02.2008 г. № 87;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СНИП 2.01.28-85 «Полигоны по обезвреживанию и захоронению твердых бытовых отходов»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•</w:t>
            </w: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ab/>
              <w:t>СП 2.1.7.1038-01 от 30.05.2001 г. «Гигиенические требования к устройству и содержанию полигонов для твердых бытовых отходов»;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hAnsi="Arial" w:cs="Arial"/>
                <w:color w:val="000000"/>
                <w:spacing w:val="-10"/>
                <w:sz w:val="24"/>
                <w:szCs w:val="24"/>
                <w:shd w:val="clear" w:color="auto" w:fill="FFFFFF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•</w:t>
            </w:r>
            <w:r w:rsidRPr="00C17FC9">
              <w:rPr>
                <w:bCs/>
                <w:spacing w:val="-10"/>
                <w:sz w:val="24"/>
                <w:szCs w:val="24"/>
                <w:lang w:eastAsia="ar-SA"/>
              </w:rPr>
              <w:tab/>
            </w: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Практическое пособие по разработке раздела проектной документации «Охрана окружающей среды» (СНиП 11-101-95 Госстрой РФ, Москва, 2000)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bCs/>
                <w:color w:val="000000"/>
                <w:spacing w:val="-10"/>
                <w:sz w:val="24"/>
                <w:szCs w:val="24"/>
                <w:shd w:val="clear" w:color="auto" w:fill="FFFFFF"/>
                <w:lang w:eastAsia="ar-SA"/>
              </w:rPr>
              <w:t>•</w:t>
            </w:r>
            <w:r w:rsidRPr="00C17FC9">
              <w:rPr>
                <w:bCs/>
                <w:color w:val="000000"/>
                <w:spacing w:val="-10"/>
                <w:sz w:val="24"/>
                <w:szCs w:val="24"/>
                <w:shd w:val="clear" w:color="auto" w:fill="FFFFFF"/>
                <w:lang w:eastAsia="ar-SA"/>
              </w:rPr>
              <w:tab/>
            </w: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«Инструкцией по проектированию, эксплуатации и рекультивации полигонов для твердых бытовых отходов»;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•</w:t>
            </w: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ab/>
              <w:t>ТСН 30-308-2002 «Проектирование, строительство и рекультивация полигонов твердых бытовых отходов в Московской области» (в качестве справочного материала);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 Unicode MS"/>
                <w:spacing w:val="-10"/>
                <w:sz w:val="24"/>
                <w:szCs w:val="24"/>
                <w:lang w:eastAsia="ar-SA"/>
              </w:rPr>
              <w:t>Иные действующие нормативно-правовые акты в области охраны окружающей среды.</w:t>
            </w:r>
          </w:p>
          <w:p w:rsidR="003C4CFA" w:rsidRPr="00C17FC9" w:rsidRDefault="003C4CFA" w:rsidP="000F193F">
            <w:pPr>
              <w:ind w:left="317" w:hanging="284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Обязательной документацией проекта являются:</w:t>
            </w:r>
          </w:p>
          <w:p w:rsidR="003C4CFA" w:rsidRPr="00C17FC9" w:rsidRDefault="003C4CFA" w:rsidP="000F193F">
            <w:pPr>
              <w:ind w:left="317" w:hanging="284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исходный план полигона на начало рекультивации;</w:t>
            </w:r>
          </w:p>
          <w:p w:rsidR="003C4CFA" w:rsidRPr="00C17FC9" w:rsidRDefault="003C4CFA" w:rsidP="000F193F">
            <w:pPr>
              <w:ind w:left="317" w:hanging="284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генплан полигона после рекультивации;</w:t>
            </w:r>
          </w:p>
          <w:p w:rsidR="003C4CFA" w:rsidRPr="00C17FC9" w:rsidRDefault="003C4CFA" w:rsidP="000F193F">
            <w:pPr>
              <w:ind w:left="317" w:hanging="284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технология проведения рекультивации;</w:t>
            </w:r>
          </w:p>
          <w:p w:rsidR="003C4CFA" w:rsidRPr="00C17FC9" w:rsidRDefault="003C4CFA" w:rsidP="000F193F">
            <w:pPr>
              <w:ind w:left="317" w:hanging="284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пояснительная записка, в которой отражается характеристика:</w:t>
            </w:r>
          </w:p>
          <w:p w:rsidR="003C4CFA" w:rsidRPr="00C17FC9" w:rsidRDefault="003C4CFA" w:rsidP="000F193F">
            <w:pPr>
              <w:ind w:left="317" w:hanging="284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а) свалочного грунта на всю глубину;</w:t>
            </w:r>
          </w:p>
          <w:p w:rsidR="003C4CFA" w:rsidRPr="00C17FC9" w:rsidRDefault="003C4CFA" w:rsidP="000F193F">
            <w:pPr>
              <w:ind w:left="317" w:hanging="284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б) почв, завозимых для рекультивации;</w:t>
            </w:r>
          </w:p>
          <w:p w:rsidR="003C4CFA" w:rsidRPr="00C17FC9" w:rsidRDefault="003C4CFA" w:rsidP="000F193F">
            <w:pPr>
              <w:ind w:left="317" w:hanging="284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в) материалов и технических изделий, применяемых в системе дегазации;</w:t>
            </w:r>
          </w:p>
          <w:p w:rsidR="003C4CFA" w:rsidRPr="00C17FC9" w:rsidRDefault="003C4CFA" w:rsidP="000F193F">
            <w:pPr>
              <w:ind w:left="317" w:hanging="284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- качественный и количественный подбор ассортимента растений и удобрений.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 xml:space="preserve">2. Графические работы выполняются в </w:t>
            </w:r>
            <w:r w:rsidRPr="00C17FC9">
              <w:rPr>
                <w:rFonts w:eastAsia="Arial"/>
                <w:bCs/>
                <w:spacing w:val="-10"/>
                <w:sz w:val="24"/>
                <w:szCs w:val="24"/>
                <w:lang w:val="en-US" w:eastAsia="ar-SA"/>
              </w:rPr>
              <w:t>dwg</w:t>
            </w: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 xml:space="preserve"> формате.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3. В составе проектно-сметной документации (далее – ПСД) выполнить ведомости и сметы.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4.  Материалы согласований оформить отдельным томом.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5. Один экземпляр проектной документации выполнить в формате PDF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284"/>
                <w:tab w:val="left" w:pos="351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16. Требования к разработке раздела охрана окружающей среды (ООС)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 xml:space="preserve">Состав и содержание раздела проектной документации «Перечень мероприятий по охране окружающей среды» выполнить в соответствии с п. 25 Постановления Правительства РФ от 16.02.2008 г. №87. 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16.1. Результаты оценки воздействия объекта на окружающую среду (ОВОС), в том числе: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краткую характеристику намечаемой хозяйственной деятельности (данные предоставляет заказчик);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оценку современного состояния основных компонентов окружающей природной среды;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оценка экологических и инженерно-экологических ограничений на природопользование;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оценку воздействия на атмосферный воздух;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оценку воздействия на земельные ресурсы;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оценку воздействия на водную среду;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оценку воздействия на растительный и животный мир;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оценку физического воздействия намечаемой деятельности;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оценку воздействия при обращении с отходами производства и потребления;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оценку воздействия на особо охраняемые природные территории и объекты культурного наследия.</w:t>
            </w:r>
          </w:p>
          <w:p w:rsidR="003C4CFA" w:rsidRPr="00C17FC9" w:rsidRDefault="003C4CFA" w:rsidP="000F193F">
            <w:pPr>
              <w:widowControl w:val="0"/>
              <w:tabs>
                <w:tab w:val="left" w:pos="78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16.2. Перечень мероприятий по предотвращению и (или) снижению возможного негативного воздействия намечаемой хозяйственной деятельности на окружающую среду и рациональному использованию природных ресурсов на период строительства и эксплуатации,(ПМООС) включающий: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мероприятия по охране атмосферного воздуха, в том числе результаты расчетов приземных концентраций загрязняющих веществ, анализ и предложения по предельно-допустимым и временно согласованным выбросам;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обоснование решений по очистке сточных вод и утилизации обезвреженных элементов, по предотвращению аварийных сбросов сточных вод;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мероприятия по охране и рациональному использованию земельных ресурсов и почвенного покрова;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мероприятия по сбору, использованию, обезвреживанию, транспортировке и размещению опасных отходов;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мероприятия по охране недр;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мероприятия по охране объектов растительного и животного мира и среды их обитания (при наличии объектов растительного и животного мира, занесенных в Красную книгу Российской Федерации и красные книги субъектов Российской Федерации, отдельно указываются мероприятия по охране таких объектов);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мероприятия по минимизации возникновения возможных аварийных ситуаций на объекте капитального строительства и последствий их воздействия на экосистему региона;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мероприятия, технические решения и сооружения, обеспечивающие рациональное использование и охрану водных объектов, а также сохранение водных биологических ресурсов и среды их обитания, в том числе условий их размножения, нагула, путей миграции (при необходимости для близлежащих водных объектов).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Программу производственного экологического контроля (мониторинга) за характером изменения всех компонентов экосистемы при строительстве и эксплуатации объекта, включающую: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перечень контролируемых показателей качества основных компонентов природной среды и соответствие указанных показателей прогнозным характеристикам;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методы и методики контроля (мониторинга) состояния основных компонентов природной среды при строительстве и эксплуатации, а также в случае аварийных ситуаций;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периодичность и частоту отбора проб, схему наблюдательной сети (местоположение точек отбора проб).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6"/>
              </w:numPr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Перечень и расчет затрат на реализацию природоохранных мероприятий и осуществление компенсационных выплат (стоимостная оценка природоохранных мероприятий, компенсационные платежи).</w:t>
            </w:r>
          </w:p>
          <w:p w:rsidR="003C4CFA" w:rsidRPr="00C17FC9" w:rsidRDefault="003C4CFA" w:rsidP="000F193F">
            <w:pPr>
              <w:widowControl w:val="0"/>
              <w:tabs>
                <w:tab w:val="num" w:pos="209"/>
                <w:tab w:val="left" w:pos="351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16.3. Графическую часть, включающую: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209"/>
                <w:tab w:val="left" w:pos="351"/>
                <w:tab w:val="num" w:pos="720"/>
                <w:tab w:val="left" w:pos="92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ситуационный план (карту-схему) района строительства с указанием на нем границ земельного участка, предоставленного для размещения объекта капитального строительства, границ санитарно-защитной зоны, селитебной территории, рекреационных зон, водоохранных зон, зон охраны источников питьевого водоснабжения, а также мест нахождения расчетных точек;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209"/>
                <w:tab w:val="left" w:pos="351"/>
                <w:tab w:val="num" w:pos="720"/>
                <w:tab w:val="left" w:pos="92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ситуационный план (карту-схему) района строительства с указанием границ земельного участка, предоставленного для размещения объекта капитального строительства, расположения источников выбросов в атмосферу загрязняющих веществ и устройств по очистке этих выбросов;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209"/>
                <w:tab w:val="left" w:pos="351"/>
                <w:tab w:val="num" w:pos="720"/>
                <w:tab w:val="left" w:pos="929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карты-схемы и сводные таблицы с результатами расчетов загрязнения атмосферы при неблагоприятных погодных условиях и выбросов по веществам и комбинациям веществ с суммирующимися вредными воздействиями - для объектов производственного назначения;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2"/>
              </w:numPr>
              <w:tabs>
                <w:tab w:val="clear" w:pos="0"/>
                <w:tab w:val="num" w:pos="209"/>
                <w:tab w:val="left" w:pos="351"/>
                <w:tab w:val="num" w:pos="720"/>
                <w:tab w:val="left" w:pos="929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ситуационный план (карту-схему) района с указанием границ земельного участка, предоставленного для размещения объекта капитального строительства, с указанием контрольных пунктов, постов, скважин и иных объектов, обеспечивающих отбор проб воды из поверхностных водных объектов, а также подземных вод, - для объектов производственного назначения.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284"/>
                <w:tab w:val="left" w:pos="351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spacing w:val="-10"/>
                <w:sz w:val="24"/>
                <w:szCs w:val="24"/>
                <w:lang w:eastAsia="ar-SA"/>
              </w:rPr>
              <w:t>17. Требования к точности, надежности, достоверности и обеспеченности данных и характеристик, получаемых при инженерных изысканиях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 Unicode MS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В соответствии с требованиями принятыми в РФ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18.Общие требования к техническим решениям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 xml:space="preserve">Соответствие требованиям нормативных актов Российской Федерации; 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Предусмотреть в проектной документации передовые строительные технологии, архитектурные решения и строительные материалы;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Применять технические решения, минимизирующие воздействия на окружающую среду;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Предусмотреть мероприятия по обеспечению безопасности труда в ходе выполнения работ;</w:t>
            </w:r>
          </w:p>
        </w:tc>
      </w:tr>
      <w:tr w:rsidR="003C4CFA" w:rsidRPr="00C17FC9" w:rsidTr="00C17FC9">
        <w:trPr>
          <w:trHeight w:val="5242"/>
        </w:trPr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 xml:space="preserve">19. Основные требования к конструктивным элементам и технологическим решениям участка складирования отходов 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 xml:space="preserve">Предусмотреть систему пассивной вентиляции (отведения газа) тела отходов, создание плодородного и дренажного слоев финального перекрытия на участке складирования бытовых отходов; 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 xml:space="preserve"> Предусмотреть систему отведения незагрязненного поверхностного стока после финального перекрытия насыпного холма;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 xml:space="preserve"> Предусмотреть сплошной посев трав при рекультивации  на поверхности насыпного холма;</w:t>
            </w:r>
          </w:p>
          <w:p w:rsidR="003C4CFA" w:rsidRPr="00C17FC9" w:rsidRDefault="003C4CFA" w:rsidP="003C4CFA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Предусмотреть устройство временных технологических дорог .</w:t>
            </w:r>
          </w:p>
          <w:p w:rsidR="003C4CFA" w:rsidRPr="00C17FC9" w:rsidRDefault="003C4CFA" w:rsidP="000F193F">
            <w:pPr>
              <w:widowControl w:val="0"/>
              <w:ind w:left="33" w:right="34"/>
              <w:jc w:val="both"/>
              <w:rPr>
                <w:rFonts w:ascii="Arial" w:eastAsia="Arial Unicode MS" w:hAnsi="Arial" w:cs="Arial"/>
                <w:spacing w:val="-10"/>
                <w:sz w:val="24"/>
                <w:szCs w:val="24"/>
                <w:lang w:eastAsia="ar-SA"/>
              </w:rPr>
            </w:pP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20. Требования оценки и прогноза возможных изменений природных и техногенных условий территории изысканий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 Unicode MS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Инженерные изыскания должны быть выполнены в объеме достаточном для прогноза воздействия объекта на окружающую среду и проведения оценки воздействия в соответствии с требованиями нормативных документов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 xml:space="preserve">21. Особые требования к эксплуатационному режиму работы предприятия и к технологии складирования отходов. 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color w:val="FF0000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Не требуется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22.Требования к разработке технических мероприятий гражданской обороны и мероприятий по предотвращению чрезвычайных ситуаций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 Unicode MS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 Unicode MS"/>
                <w:spacing w:val="-10"/>
                <w:sz w:val="24"/>
                <w:szCs w:val="24"/>
                <w:lang w:eastAsia="ar-SA"/>
              </w:rPr>
              <w:t>Не требуется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23.Состав исходно-разрешительных документов, представляемых Заказчиком до начала проектирования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Градостроительный план земельного участка;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Свидетельство о собственности на земельный участок;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Кадастровый паспорт земельного участка;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Другие документы в соответствии с действующим законодательством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24. Состав исходно-разрешительных документов, представляемых Заказчиком во время проектирования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Градостроительный план земельного участка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sz w:val="24"/>
                <w:szCs w:val="24"/>
                <w:lang w:eastAsia="ar-SA"/>
              </w:rPr>
            </w:pP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25.Требования по проведению государственной экспертизы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В соответствии с Федеральным законом от 23.11.1995 г. № 174 - ФЗ «Об экологической экспертизе».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В соответствии с Постановлением Правительства Российской Федерации от 05.03.2007 г. № 145 «О порядке организации и проведения государственной экспертизы проектной документации и результатов инженерных изысканий».</w:t>
            </w:r>
          </w:p>
          <w:p w:rsidR="003C4CFA" w:rsidRPr="00C17FC9" w:rsidRDefault="000C3364" w:rsidP="000C3364">
            <w:pPr>
              <w:widowControl w:val="0"/>
              <w:tabs>
                <w:tab w:val="left" w:pos="178"/>
              </w:tabs>
              <w:ind w:left="33" w:right="34"/>
              <w:jc w:val="both"/>
              <w:rPr>
                <w:rFonts w:eastAsia="Arial Unicode MS"/>
                <w:bCs/>
                <w:spacing w:val="-10"/>
                <w:sz w:val="24"/>
                <w:szCs w:val="24"/>
                <w:lang w:eastAsia="ar-SA"/>
              </w:rPr>
            </w:pPr>
            <w:r>
              <w:rPr>
                <w:rFonts w:eastAsia="Arial Unicode MS"/>
                <w:bCs/>
                <w:spacing w:val="-10"/>
                <w:sz w:val="24"/>
                <w:szCs w:val="24"/>
                <w:lang w:eastAsia="ar-SA"/>
              </w:rPr>
              <w:t>Подрядчик</w:t>
            </w:r>
            <w:r w:rsidR="003C4CFA" w:rsidRPr="00C17FC9">
              <w:rPr>
                <w:rFonts w:eastAsia="Arial Unicode MS"/>
                <w:bCs/>
                <w:spacing w:val="-10"/>
                <w:sz w:val="24"/>
                <w:szCs w:val="24"/>
                <w:lang w:eastAsia="ar-SA"/>
              </w:rPr>
              <w:t xml:space="preserve"> проводит согласование и обеспечивает положительное заключение государственной экологической экспертизы документации, и положительное заключение о достоверности определения сметной стоимости, получает заключения по проектной документации в государственных органах по контролю, а также у других согласующих инстанций, технические условия которых были получены при</w:t>
            </w:r>
            <w:r>
              <w:rPr>
                <w:rFonts w:eastAsia="Arial Unicode MS"/>
                <w:bCs/>
                <w:spacing w:val="-10"/>
                <w:sz w:val="24"/>
                <w:szCs w:val="24"/>
                <w:lang w:eastAsia="ar-SA"/>
              </w:rPr>
              <w:t xml:space="preserve"> разработке проекта. Подрядчик</w:t>
            </w:r>
            <w:r w:rsidR="003C4CFA" w:rsidRPr="00C17FC9">
              <w:rPr>
                <w:rFonts w:eastAsia="Arial Unicode MS"/>
                <w:bCs/>
                <w:spacing w:val="-10"/>
                <w:sz w:val="24"/>
                <w:szCs w:val="24"/>
                <w:lang w:eastAsia="ar-SA"/>
              </w:rPr>
              <w:t xml:space="preserve"> самостоятельно отстаивает в государственной экспертизе и органе, осуществляющем проверку достоверности определения сметной стоимости объекта, полноту и правильность выполненных работ по инженерным изысканиям и проектным работам.</w:t>
            </w:r>
          </w:p>
          <w:p w:rsidR="0065132F" w:rsidRPr="00C17FC9" w:rsidRDefault="0065132F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 Unicode MS"/>
                <w:bCs/>
                <w:spacing w:val="-10"/>
                <w:sz w:val="24"/>
                <w:szCs w:val="24"/>
                <w:lang w:eastAsia="ar-SA"/>
              </w:rPr>
              <w:t>Государственную экологическую экспертизу проектно-сметной документации и экспертизу достоверности определения сметной стоимости объекта проводит подрядчик за счет собственных средств.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26. Особые условия строительства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 Unicode MS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 xml:space="preserve">Данные по природно-климатическим и инженерно-геологическим условиям принимать на основании результатов инженерных изысканий 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27. Получение технических условий, сбор исходных данных, подготовка материалов для согласований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Заказчик обеспечивает получение: исходных данных, технических условий, справок градостроительной базы данных.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 Unicode MS"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Согла</w:t>
            </w:r>
            <w:r w:rsidR="000C3364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сование осуществляет Подрядчик</w:t>
            </w: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28. Требования к организации строительства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Все виды работ должны проводиться в соответствии с СНиП 12-03-2002, СНиП 12-04-2002, СП 12-136-2002 «Безопасность труда в строительстве»;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  <w:t>Земляные работы должны выполняться с соблюдением требований СНиП 3.02.01-87 «Земляные основания и фундаменты». СНиП 3.02.01-83 «Основания и фундаменты».</w:t>
            </w:r>
          </w:p>
          <w:p w:rsidR="003C4CFA" w:rsidRPr="00C17FC9" w:rsidRDefault="003C4CFA" w:rsidP="000F193F">
            <w:pPr>
              <w:widowControl w:val="0"/>
              <w:tabs>
                <w:tab w:val="left" w:pos="178"/>
              </w:tabs>
              <w:ind w:left="317" w:right="34" w:hanging="284"/>
              <w:jc w:val="both"/>
              <w:rPr>
                <w:rFonts w:ascii="Arial" w:eastAsia="Arial Unicode MS" w:hAnsi="Arial" w:cs="Arial"/>
                <w:spacing w:val="-10"/>
                <w:sz w:val="24"/>
                <w:szCs w:val="24"/>
                <w:lang w:eastAsia="ar-SA"/>
              </w:rPr>
            </w:pPr>
          </w:p>
        </w:tc>
      </w:tr>
      <w:tr w:rsidR="003C4CFA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"/>
                <w:bCs/>
                <w:spacing w:val="-10"/>
                <w:sz w:val="24"/>
                <w:szCs w:val="24"/>
                <w:lang w:eastAsia="ar-SA"/>
              </w:rPr>
            </w:pPr>
            <w:r w:rsidRPr="00C17FC9">
              <w:rPr>
                <w:rFonts w:eastAsia="Arial Unicode MS"/>
                <w:spacing w:val="-10"/>
                <w:sz w:val="24"/>
                <w:szCs w:val="24"/>
                <w:lang w:eastAsia="ar-SA"/>
              </w:rPr>
              <w:t>29. Указания по разработке проектно-сметной документации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4CFA" w:rsidRPr="00C17FC9" w:rsidRDefault="003C4CFA" w:rsidP="000F193F">
            <w:pPr>
              <w:snapToGrid w:val="0"/>
              <w:ind w:left="317" w:right="34" w:hanging="284"/>
              <w:jc w:val="both"/>
              <w:rPr>
                <w:snapToGrid w:val="0"/>
                <w:sz w:val="24"/>
                <w:szCs w:val="24"/>
                <w:lang w:eastAsia="ru-RU"/>
              </w:rPr>
            </w:pPr>
            <w:r w:rsidRPr="00C17FC9">
              <w:rPr>
                <w:snapToGrid w:val="0"/>
                <w:sz w:val="24"/>
                <w:szCs w:val="24"/>
                <w:lang w:eastAsia="ru-RU"/>
              </w:rPr>
              <w:t>1. Стоимость работ определить по локальным сметам, выполненным по итогам разработки проектной документации.</w:t>
            </w:r>
          </w:p>
          <w:p w:rsidR="003C4CFA" w:rsidRPr="00C17FC9" w:rsidRDefault="003C4CFA" w:rsidP="000F193F">
            <w:pPr>
              <w:snapToGrid w:val="0"/>
              <w:ind w:left="317" w:right="34" w:hanging="284"/>
              <w:jc w:val="both"/>
              <w:rPr>
                <w:snapToGrid w:val="0"/>
                <w:sz w:val="24"/>
                <w:szCs w:val="24"/>
                <w:lang w:eastAsia="ru-RU"/>
              </w:rPr>
            </w:pPr>
            <w:r w:rsidRPr="00C17FC9">
              <w:rPr>
                <w:snapToGrid w:val="0"/>
                <w:sz w:val="24"/>
                <w:szCs w:val="24"/>
                <w:lang w:eastAsia="ru-RU"/>
              </w:rPr>
              <w:t>2. Сметную документацию разработать и оформить в соответствии с «Методикой определения стоимости строительной продукции на территории Российской Федерации» МДС 81-35.2004;</w:t>
            </w:r>
          </w:p>
          <w:p w:rsidR="003C4CFA" w:rsidRPr="00C17FC9" w:rsidRDefault="003C4CFA" w:rsidP="000F193F">
            <w:pPr>
              <w:snapToGrid w:val="0"/>
              <w:ind w:left="317" w:right="34" w:hanging="284"/>
              <w:jc w:val="both"/>
              <w:rPr>
                <w:snapToGrid w:val="0"/>
                <w:sz w:val="24"/>
                <w:szCs w:val="24"/>
                <w:lang w:eastAsia="ru-RU"/>
              </w:rPr>
            </w:pPr>
            <w:r w:rsidRPr="00C17FC9">
              <w:rPr>
                <w:snapToGrid w:val="0"/>
                <w:sz w:val="24"/>
                <w:szCs w:val="24"/>
                <w:lang w:eastAsia="ru-RU"/>
              </w:rPr>
              <w:t>3. Сметную стоимость определить с использованием сметно-нормативной базы ТСНБ ТЕР-2001 Республики Мордовия (редакция 2014г., приказ Минстроя России № 140/пр) в двух уровнях цен: базисном-2001 года и текущем уровне цен квартала сдачи проектной документации Заказчику ресурсным методом с использованием программного комплекса «РИК».</w:t>
            </w:r>
          </w:p>
          <w:p w:rsidR="003C4CFA" w:rsidRPr="00C17FC9" w:rsidRDefault="003C4CFA" w:rsidP="000F193F">
            <w:pPr>
              <w:snapToGrid w:val="0"/>
              <w:ind w:left="317" w:right="34" w:hanging="284"/>
              <w:jc w:val="both"/>
              <w:rPr>
                <w:snapToGrid w:val="0"/>
                <w:sz w:val="24"/>
                <w:szCs w:val="24"/>
                <w:lang w:eastAsia="ru-RU"/>
              </w:rPr>
            </w:pPr>
            <w:r w:rsidRPr="00C17FC9">
              <w:rPr>
                <w:snapToGrid w:val="0"/>
                <w:sz w:val="24"/>
                <w:szCs w:val="24"/>
                <w:lang w:eastAsia="ru-RU"/>
              </w:rPr>
              <w:t>4. Сметную стоимость материалов, эксплуатации машин и механизмов принять в соответствии со Сборником сметных цен по Республике Мордовия на материалы, изделия и конструкции в строительстве</w:t>
            </w:r>
          </w:p>
          <w:p w:rsidR="003C4CFA" w:rsidRPr="00C17FC9" w:rsidRDefault="003C4CFA" w:rsidP="000F193F">
            <w:pPr>
              <w:snapToGrid w:val="0"/>
              <w:ind w:left="317" w:right="34" w:hanging="284"/>
              <w:jc w:val="both"/>
              <w:rPr>
                <w:snapToGrid w:val="0"/>
                <w:sz w:val="24"/>
                <w:szCs w:val="24"/>
                <w:lang w:eastAsia="ru-RU"/>
              </w:rPr>
            </w:pPr>
            <w:r w:rsidRPr="00C17FC9">
              <w:rPr>
                <w:snapToGrid w:val="0"/>
                <w:sz w:val="24"/>
                <w:szCs w:val="24"/>
                <w:lang w:eastAsia="ru-RU"/>
              </w:rPr>
              <w:t>4. Полный комплект сметной документации необходимо представить в электронном виде.</w:t>
            </w:r>
          </w:p>
        </w:tc>
      </w:tr>
      <w:tr w:rsidR="00F47678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7678" w:rsidRPr="003A7649" w:rsidRDefault="00F47678" w:rsidP="008618E2">
            <w:pPr>
              <w:jc w:val="both"/>
              <w:rPr>
                <w:rFonts w:eastAsia="Arial Unicode MS"/>
                <w:spacing w:val="-10"/>
                <w:sz w:val="22"/>
                <w:szCs w:val="22"/>
                <w:lang w:eastAsia="ar-SA"/>
              </w:rPr>
            </w:pPr>
            <w:r>
              <w:rPr>
                <w:rFonts w:eastAsia="Arial Unicode MS"/>
                <w:spacing w:val="-10"/>
                <w:sz w:val="22"/>
                <w:szCs w:val="22"/>
                <w:lang w:eastAsia="ar-SA"/>
              </w:rPr>
              <w:t>30</w:t>
            </w:r>
            <w:r w:rsidRPr="007948D7">
              <w:rPr>
                <w:sz w:val="22"/>
                <w:szCs w:val="22"/>
              </w:rPr>
              <w:t xml:space="preserve"> Обоснование применения дополнительных характеристик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7678" w:rsidRPr="00A26951" w:rsidRDefault="00F47678" w:rsidP="008618E2">
            <w:pPr>
              <w:jc w:val="both"/>
              <w:rPr>
                <w:snapToGrid w:val="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В</w:t>
            </w:r>
            <w:r w:rsidRPr="007948D7">
              <w:rPr>
                <w:sz w:val="22"/>
                <w:szCs w:val="22"/>
              </w:rPr>
              <w:t>виду отсутствия в каталоге товаров, работ, услуг необходимых характеристик для данного вида работ, заказчиком установлены дополнительные характеристики, удовлетворяющ</w:t>
            </w:r>
            <w:r>
              <w:rPr>
                <w:sz w:val="22"/>
                <w:szCs w:val="22"/>
              </w:rPr>
              <w:t>ие  потребностям заказчика</w:t>
            </w:r>
          </w:p>
        </w:tc>
      </w:tr>
      <w:tr w:rsidR="00F47678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7678" w:rsidRPr="00C17FC9" w:rsidRDefault="00F47678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 Unicode MS"/>
                <w:spacing w:val="-10"/>
                <w:sz w:val="24"/>
                <w:szCs w:val="24"/>
                <w:lang w:eastAsia="ar-SA"/>
              </w:rPr>
            </w:pPr>
            <w:r>
              <w:rPr>
                <w:rFonts w:eastAsia="Arial Unicode MS"/>
                <w:spacing w:val="-10"/>
                <w:sz w:val="24"/>
                <w:szCs w:val="24"/>
                <w:lang w:eastAsia="ar-SA"/>
              </w:rPr>
              <w:t>31</w:t>
            </w:r>
            <w:r w:rsidRPr="00C17FC9">
              <w:rPr>
                <w:sz w:val="24"/>
                <w:szCs w:val="24"/>
              </w:rPr>
              <w:t xml:space="preserve"> </w:t>
            </w:r>
            <w:r w:rsidRPr="00C17FC9">
              <w:rPr>
                <w:rFonts w:eastAsia="Arial Unicode MS"/>
                <w:spacing w:val="-10"/>
                <w:sz w:val="24"/>
                <w:szCs w:val="24"/>
                <w:lang w:eastAsia="ar-SA"/>
              </w:rPr>
              <w:t>Сроки и порядок оплаты выполненных работ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7678" w:rsidRPr="00C17FC9" w:rsidRDefault="00F47678" w:rsidP="00EE5D07">
            <w:pPr>
              <w:rPr>
                <w:rFonts w:eastAsia="Calibri"/>
                <w:sz w:val="24"/>
                <w:szCs w:val="24"/>
              </w:rPr>
            </w:pPr>
            <w:r w:rsidRPr="00C17FC9">
              <w:rPr>
                <w:sz w:val="24"/>
                <w:szCs w:val="24"/>
              </w:rPr>
              <w:t>Безналичный расчет, аванс не предусмотрен;</w:t>
            </w:r>
            <w:r w:rsidRPr="00C17FC9">
              <w:rPr>
                <w:rFonts w:eastAsia="Calibri"/>
                <w:sz w:val="24"/>
                <w:szCs w:val="24"/>
              </w:rPr>
              <w:t xml:space="preserve"> </w:t>
            </w:r>
          </w:p>
          <w:p w:rsidR="00F47678" w:rsidRPr="00C17FC9" w:rsidRDefault="00F47678" w:rsidP="00EE5D07">
            <w:pPr>
              <w:rPr>
                <w:sz w:val="24"/>
                <w:szCs w:val="24"/>
              </w:rPr>
            </w:pPr>
            <w:r w:rsidRPr="00C17FC9">
              <w:rPr>
                <w:sz w:val="24"/>
                <w:szCs w:val="24"/>
              </w:rPr>
              <w:t>Заказчик оплачивает 1 431 600 (один миллион четыреста тридцать одна тысяча шестьсот) рублей с НДС/без НДС в течение 15 дней после получения по накладной разработанной документации на основании подписанного сторонами Акта сдачи-приемки выполненных работ при наличии счета (счета-фактуры) производится. Перечень работ, подлежащих оплате на первом этапе, предусмотрен пунктами 1-3 календарного плана;</w:t>
            </w:r>
          </w:p>
          <w:p w:rsidR="00F47678" w:rsidRPr="00C17FC9" w:rsidRDefault="00F47678" w:rsidP="00EE5D07">
            <w:pPr>
              <w:rPr>
                <w:sz w:val="24"/>
                <w:szCs w:val="24"/>
              </w:rPr>
            </w:pPr>
            <w:r w:rsidRPr="00C17FC9">
              <w:rPr>
                <w:sz w:val="24"/>
                <w:szCs w:val="24"/>
              </w:rPr>
              <w:t>Заказчик оплачивает 404 150 (четыреста четыре тысячи сто пятьдесят) рублей с НДС/без НДС в течение 15 дней после получения по накладной разработанной проектно-сметной документации на основании подписанного сторонами Акта сдачи-приемки выполненных работ при наличии счета (счета-фактуры) производится. Перечень работ, подлежащих оплате на втором этапе, предусмотрен пунктом 4 календарного плана;</w:t>
            </w:r>
          </w:p>
          <w:p w:rsidR="00F47678" w:rsidRPr="00C17FC9" w:rsidRDefault="00F47678" w:rsidP="008C62A8">
            <w:pPr>
              <w:rPr>
                <w:snapToGrid w:val="0"/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</w:rPr>
              <w:t>Окончательный расчет  404 150 (четыреста четыре тысячи сто пятьдесят) рублей с НДС/без НДС в течение 15 дней после получения по накладной разработанной документации на основании подписанного сторонами Акта сдачи-приемки выполненных работ при наличии счета (счета-фактуры) производится при условии получения положительного заключения государственной экологической экспертизы проектной документации и проверки достоверности определения сметной стоимости объектов.</w:t>
            </w:r>
            <w:r w:rsidRPr="00C17FC9">
              <w:rPr>
                <w:snapToGrid w:val="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47678" w:rsidRPr="00C17FC9" w:rsidTr="00C17FC9"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47678" w:rsidRPr="00C17FC9" w:rsidRDefault="00F47678" w:rsidP="000F193F">
            <w:pPr>
              <w:widowControl w:val="0"/>
              <w:tabs>
                <w:tab w:val="left" w:pos="178"/>
                <w:tab w:val="left" w:pos="284"/>
              </w:tabs>
              <w:ind w:hanging="11"/>
              <w:jc w:val="both"/>
              <w:rPr>
                <w:rFonts w:eastAsia="Arial Unicode MS"/>
                <w:spacing w:val="-10"/>
                <w:sz w:val="24"/>
                <w:szCs w:val="24"/>
                <w:lang w:eastAsia="ar-SA"/>
              </w:rPr>
            </w:pPr>
            <w:r>
              <w:rPr>
                <w:rFonts w:eastAsia="Arial Unicode MS"/>
                <w:spacing w:val="-10"/>
                <w:sz w:val="24"/>
                <w:szCs w:val="24"/>
                <w:lang w:eastAsia="ar-SA"/>
              </w:rPr>
              <w:t>32</w:t>
            </w:r>
            <w:r w:rsidRPr="00C17FC9">
              <w:rPr>
                <w:rFonts w:eastAsia="Arial Unicode MS"/>
                <w:spacing w:val="-10"/>
                <w:sz w:val="24"/>
                <w:szCs w:val="24"/>
                <w:lang w:eastAsia="ar-SA"/>
              </w:rPr>
              <w:t>. Форма предоставления итоговых документов</w:t>
            </w:r>
          </w:p>
        </w:tc>
        <w:tc>
          <w:tcPr>
            <w:tcW w:w="7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47678" w:rsidRPr="00C17FC9" w:rsidRDefault="00F47678" w:rsidP="000F193F">
            <w:pPr>
              <w:shd w:val="clear" w:color="auto" w:fill="FFFFFF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Итоговый документ предоставить в цветном бумажном и эквивалентном ему электронном виде:</w:t>
            </w:r>
          </w:p>
          <w:p w:rsidR="00F47678" w:rsidRPr="00C17FC9" w:rsidRDefault="00F47678" w:rsidP="003C4CFA">
            <w:pPr>
              <w:numPr>
                <w:ilvl w:val="0"/>
                <w:numId w:val="7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 xml:space="preserve">Пояснительная записка – </w:t>
            </w:r>
            <w:r w:rsidRPr="00C17FC9">
              <w:rPr>
                <w:sz w:val="24"/>
                <w:szCs w:val="24"/>
                <w:lang w:val="en-US" w:eastAsia="ru-RU"/>
              </w:rPr>
              <w:t>doc</w:t>
            </w:r>
            <w:r w:rsidRPr="00C17FC9">
              <w:rPr>
                <w:sz w:val="24"/>
                <w:szCs w:val="24"/>
                <w:lang w:eastAsia="ru-RU"/>
              </w:rPr>
              <w:t>;</w:t>
            </w:r>
          </w:p>
          <w:p w:rsidR="00F47678" w:rsidRPr="00C17FC9" w:rsidRDefault="00F47678" w:rsidP="003C4CFA">
            <w:pPr>
              <w:numPr>
                <w:ilvl w:val="0"/>
                <w:numId w:val="7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Табличные материалы –Excel с электронными связями с исходными данными</w:t>
            </w:r>
          </w:p>
          <w:p w:rsidR="00F47678" w:rsidRPr="00C17FC9" w:rsidRDefault="00F47678" w:rsidP="003C4CFA">
            <w:pPr>
              <w:numPr>
                <w:ilvl w:val="0"/>
                <w:numId w:val="7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 xml:space="preserve">Чертежи, графические материалы – в виде файлов, используемых </w:t>
            </w:r>
            <w:r w:rsidRPr="00C17FC9">
              <w:rPr>
                <w:sz w:val="24"/>
                <w:szCs w:val="24"/>
                <w:lang w:val="en-US" w:eastAsia="ru-RU"/>
              </w:rPr>
              <w:t>dwg</w:t>
            </w:r>
            <w:r w:rsidRPr="00C17FC9">
              <w:rPr>
                <w:sz w:val="24"/>
                <w:szCs w:val="24"/>
                <w:lang w:eastAsia="ru-RU"/>
              </w:rPr>
              <w:t xml:space="preserve">, , на DVD или </w:t>
            </w:r>
            <w:r w:rsidRPr="00C17FC9">
              <w:rPr>
                <w:sz w:val="24"/>
                <w:szCs w:val="24"/>
                <w:lang w:val="en-US" w:eastAsia="ru-RU"/>
              </w:rPr>
              <w:t>flash</w:t>
            </w:r>
            <w:r w:rsidRPr="00C17FC9">
              <w:rPr>
                <w:sz w:val="24"/>
                <w:szCs w:val="24"/>
                <w:lang w:eastAsia="ru-RU"/>
              </w:rPr>
              <w:t xml:space="preserve"> -носителях.</w:t>
            </w:r>
          </w:p>
          <w:p w:rsidR="00F47678" w:rsidRPr="00C17FC9" w:rsidRDefault="00F47678" w:rsidP="003C4CFA">
            <w:pPr>
              <w:numPr>
                <w:ilvl w:val="0"/>
                <w:numId w:val="7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ind w:left="317" w:right="34" w:hanging="284"/>
              <w:jc w:val="both"/>
              <w:rPr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 xml:space="preserve">Полностью весь объём итогового документа в формате </w:t>
            </w:r>
            <w:r w:rsidRPr="00C17FC9">
              <w:rPr>
                <w:sz w:val="24"/>
                <w:szCs w:val="24"/>
                <w:lang w:val="en-US" w:eastAsia="ru-RU"/>
              </w:rPr>
              <w:t>PDF</w:t>
            </w:r>
            <w:r w:rsidRPr="00C17FC9">
              <w:rPr>
                <w:sz w:val="24"/>
                <w:szCs w:val="24"/>
                <w:lang w:eastAsia="ru-RU"/>
              </w:rPr>
              <w:t>.</w:t>
            </w:r>
          </w:p>
          <w:p w:rsidR="00F47678" w:rsidRPr="00C17FC9" w:rsidRDefault="00F47678" w:rsidP="000F193F">
            <w:pPr>
              <w:snapToGrid w:val="0"/>
              <w:ind w:left="317" w:right="34" w:hanging="284"/>
              <w:jc w:val="both"/>
              <w:rPr>
                <w:snapToGrid w:val="0"/>
                <w:sz w:val="24"/>
                <w:szCs w:val="24"/>
                <w:lang w:eastAsia="ru-RU"/>
              </w:rPr>
            </w:pPr>
            <w:r w:rsidRPr="00C17FC9">
              <w:rPr>
                <w:sz w:val="24"/>
                <w:szCs w:val="24"/>
                <w:lang w:eastAsia="ru-RU"/>
              </w:rPr>
              <w:t>Итоговый документ представить в 4 экз. на бумажном носителе, 1 экз. на электронном носителе.</w:t>
            </w:r>
          </w:p>
        </w:tc>
      </w:tr>
    </w:tbl>
    <w:p w:rsidR="000D537E" w:rsidRDefault="000D537E" w:rsidP="000D537E">
      <w:pPr>
        <w:suppressAutoHyphens w:val="0"/>
        <w:spacing w:after="200"/>
        <w:jc w:val="center"/>
        <w:rPr>
          <w:rFonts w:eastAsia="Calibri"/>
          <w:b/>
          <w:bCs/>
          <w:caps/>
          <w:sz w:val="24"/>
          <w:szCs w:val="24"/>
          <w:u w:val="single"/>
          <w:lang w:eastAsia="en-US"/>
        </w:rPr>
      </w:pPr>
    </w:p>
    <w:p w:rsidR="009B2AFE" w:rsidRDefault="00D9614F"/>
    <w:sectPr w:rsidR="009B2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0"/>
        </w:tabs>
        <w:ind w:left="993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RTF_Num 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5">
    <w:nsid w:val="0D2B6B68"/>
    <w:multiLevelType w:val="hybridMultilevel"/>
    <w:tmpl w:val="5004008C"/>
    <w:lvl w:ilvl="0" w:tplc="B7E2020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7D6DF4"/>
    <w:multiLevelType w:val="hybridMultilevel"/>
    <w:tmpl w:val="4F1438EA"/>
    <w:lvl w:ilvl="0" w:tplc="E99E0DD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9E4"/>
    <w:rsid w:val="00050832"/>
    <w:rsid w:val="00081F7D"/>
    <w:rsid w:val="000C3364"/>
    <w:rsid w:val="000D537E"/>
    <w:rsid w:val="0037126B"/>
    <w:rsid w:val="0038693E"/>
    <w:rsid w:val="003C4CFA"/>
    <w:rsid w:val="004659E4"/>
    <w:rsid w:val="004D3BDE"/>
    <w:rsid w:val="005F1003"/>
    <w:rsid w:val="0065132F"/>
    <w:rsid w:val="00662192"/>
    <w:rsid w:val="006B1C32"/>
    <w:rsid w:val="006F4D65"/>
    <w:rsid w:val="007F4CA5"/>
    <w:rsid w:val="008129A2"/>
    <w:rsid w:val="008C62A8"/>
    <w:rsid w:val="00A229E4"/>
    <w:rsid w:val="00A5294D"/>
    <w:rsid w:val="00AD5520"/>
    <w:rsid w:val="00BA7A70"/>
    <w:rsid w:val="00C17FC9"/>
    <w:rsid w:val="00D81D31"/>
    <w:rsid w:val="00D9614F"/>
    <w:rsid w:val="00DD7743"/>
    <w:rsid w:val="00E40EAE"/>
    <w:rsid w:val="00EC7AD9"/>
    <w:rsid w:val="00EE5D07"/>
    <w:rsid w:val="00F47678"/>
    <w:rsid w:val="00F921AF"/>
    <w:rsid w:val="00FD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C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C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2881</Words>
  <Characters>16422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пк</cp:lastModifiedBy>
  <cp:revision>2</cp:revision>
  <dcterms:created xsi:type="dcterms:W3CDTF">2019-12-17T05:58:00Z</dcterms:created>
  <dcterms:modified xsi:type="dcterms:W3CDTF">2019-12-17T05:58:00Z</dcterms:modified>
</cp:coreProperties>
</file>