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C69" w:rsidRDefault="00C666C6">
      <w:pPr>
        <w:rPr>
          <w:rFonts w:hint="eastAsia"/>
        </w:rPr>
      </w:pPr>
      <w:bookmarkStart w:id="0" w:name="_GoBack"/>
      <w:bookmarkEnd w:id="0"/>
      <w:r>
        <w:t xml:space="preserve">Вопрос: - </w:t>
      </w:r>
      <w:bookmarkStart w:id="1" w:name="__DdeLink__9_825039260"/>
      <w:r>
        <w:t>Влияет ли на размер пенсии по старости наличие несовершеннолетнего ребенка</w:t>
      </w:r>
      <w:bookmarkEnd w:id="1"/>
      <w:r>
        <w:t xml:space="preserve">? </w:t>
      </w:r>
      <w:r>
        <w:br/>
      </w:r>
      <w:r>
        <w:br/>
        <w:t>ОТВЕТ: - Получателям страховых пенсий, на иждивении которых находятся нетрудоспособные члены семьи, устанавливается повышение фиксированной выплаты в составе пенсии.</w:t>
      </w:r>
      <w:r>
        <w:br/>
      </w:r>
      <w:r>
        <w:t xml:space="preserve">Нетрудоспособными членами семьи признаются, в частности, дети, не достигшие возраста 18 лет, а также дети, обучающиеся по очной форме </w:t>
      </w:r>
      <w:proofErr w:type="gramStart"/>
      <w:r>
        <w:t>обучения</w:t>
      </w:r>
      <w:proofErr w:type="gramEnd"/>
      <w:r>
        <w:t xml:space="preserve"> по основным образовательным программам в организациях, осуществляющих образовательную деятельность, до окончания </w:t>
      </w:r>
      <w:r>
        <w:t xml:space="preserve">ими такого обучения, но не дольше чем до достижения ими возраста 23 лет. </w:t>
      </w:r>
    </w:p>
    <w:sectPr w:rsidR="00516C6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A36DD"/>
    <w:multiLevelType w:val="multilevel"/>
    <w:tmpl w:val="0452004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C69"/>
    <w:rsid w:val="00516C69"/>
    <w:rsid w:val="00C6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2019-08-01T09:52:00Z</cp:lastPrinted>
  <dcterms:created xsi:type="dcterms:W3CDTF">2019-09-09T08:08:00Z</dcterms:created>
  <dcterms:modified xsi:type="dcterms:W3CDTF">2019-09-09T08:08:00Z</dcterms:modified>
  <dc:language>ru-RU</dc:language>
</cp:coreProperties>
</file>