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  <w:t xml:space="preserve">Как направить средства материнского капитала на улучшение жилищных условий читайте на сайте ПФР: </w:t>
      </w:r>
      <w:hyperlink r:id="rId2">
        <w:r>
          <w:rPr>
            <w:rStyle w:val="Style11"/>
          </w:rPr>
          <w:t>https://pfr.gov.ru/grazhdanam/msk/msk_housing/</w:t>
        </w:r>
      </w:hyperlink>
      <w:hyperlink r:id="rId3">
        <w:r>
          <w:rPr/>
          <w:t>.</w:t>
        </w:r>
      </w:hyperlink>
    </w:p>
    <w:p>
      <w:pPr>
        <w:pStyle w:val="Normal"/>
        <w:jc w:val="both"/>
        <w:rPr/>
      </w:pPr>
      <w:hyperlink r:id="rId4">
        <w:r>
          <w:rPr>
            <w:rStyle w:val="Style11"/>
          </w:rPr>
          <w:t>#ПФР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#семья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8">
        <w:r>
          <w:rPr>
            <w:rStyle w:val="Style11"/>
          </w:rPr>
          <w:t>#услугиПФР</w:t>
        </w:r>
      </w:hyperlink>
      <w:r>
        <w:rPr/>
        <w:t xml:space="preserve">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-127000</wp:posOffset>
            </wp:positionH>
            <wp:positionV relativeFrom="paragraph">
              <wp:posOffset>47625</wp:posOffset>
            </wp:positionV>
            <wp:extent cx="3437890" cy="3437890"/>
            <wp:effectExtent l="0" t="0" r="0" b="0"/>
            <wp:wrapSquare wrapText="largest"/>
            <wp:docPr id="1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890" cy="3437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2792730</wp:posOffset>
            </wp:positionH>
            <wp:positionV relativeFrom="paragraph">
              <wp:posOffset>561975</wp:posOffset>
            </wp:positionV>
            <wp:extent cx="3554095" cy="3554095"/>
            <wp:effectExtent l="0" t="0" r="0" b="0"/>
            <wp:wrapSquare wrapText="largest"/>
            <wp:docPr id="2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095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pfr.gov.ru/grazhdanam/msk/msk_housing/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9;&#1077;&#1084;&#1100;&#1103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91;&#1089;&#1083;&#1091;&#1075;&#1080;&#1055;&#1060;&#1056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2021-04-07T15:54:11Z</dcterms:modified>
  <cp:revision>1</cp:revision>
</cp:coreProperties>
</file>