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Многодетные женщины могут выйти на пенсию досрочно.</w:t>
      </w:r>
    </w:p>
    <w:p>
      <w:pPr>
        <w:pStyle w:val="Normal"/>
        <w:rPr/>
      </w:pPr>
      <w:r>
        <w:rPr/>
        <w:t xml:space="preserve">Подробнее на сайте ПФР: </w:t>
      </w:r>
      <w:hyperlink r:id="rId2" w:tgtFrame="_blank">
        <w:r>
          <w:rPr>
            <w:rStyle w:val="Style11"/>
          </w:rPr>
          <w:t>https://pfr.gov.ru/grazhdanam/zakon/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-114300</wp:posOffset>
            </wp:positionH>
            <wp:positionV relativeFrom="paragraph">
              <wp:posOffset>28575</wp:posOffset>
            </wp:positionV>
            <wp:extent cx="3346450" cy="334645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2269490</wp:posOffset>
            </wp:positionH>
            <wp:positionV relativeFrom="paragraph">
              <wp:posOffset>744855</wp:posOffset>
            </wp:positionV>
            <wp:extent cx="3598545" cy="359854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8545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zakon%2F&amp;post=-86141808_6130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2021-04-19T09:11:47Z</dcterms:created>
  <dc:language>ru-RU</dc:language>
  <dcterms:modified xsi:type="dcterms:W3CDTF">2021-04-19T09:22:33Z</dcterms:modified>
  <cp:revision>1</cp:revision>
</cp:coreProperties>
</file>