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2DA" w:rsidRDefault="006462DA" w:rsidP="006462DA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ПРОЕКТ </w:t>
      </w:r>
    </w:p>
    <w:p w:rsidR="006462DA" w:rsidRPr="00246470" w:rsidRDefault="006462DA" w:rsidP="006462DA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6462DA" w:rsidRPr="00246470" w:rsidRDefault="00D865C4" w:rsidP="006462DA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ПУРДОШАНСКОГО </w:t>
      </w:r>
      <w:r w:rsidR="006462DA" w:rsidRPr="00246470">
        <w:rPr>
          <w:caps/>
          <w:sz w:val="28"/>
          <w:szCs w:val="28"/>
        </w:rPr>
        <w:t>СЕЛЬСКОГО ПОСЕЛЕНИЯ</w:t>
      </w:r>
    </w:p>
    <w:p w:rsidR="006462DA" w:rsidRPr="00246470" w:rsidRDefault="006462DA" w:rsidP="006462DA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6462DA" w:rsidRPr="00246470" w:rsidRDefault="006462DA" w:rsidP="006462DA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6462DA" w:rsidRPr="008F3567" w:rsidRDefault="006462DA" w:rsidP="006462DA">
      <w:pPr>
        <w:pStyle w:val="a5"/>
        <w:shd w:val="clear" w:color="auto" w:fill="FFFFFF"/>
        <w:rPr>
          <w:b w:val="0"/>
          <w:caps/>
          <w:sz w:val="20"/>
        </w:rPr>
      </w:pPr>
    </w:p>
    <w:p w:rsidR="006462DA" w:rsidRPr="008F3567" w:rsidRDefault="006462DA" w:rsidP="006462DA">
      <w:pPr>
        <w:pStyle w:val="a5"/>
        <w:shd w:val="clear" w:color="auto" w:fill="FFFFFF"/>
        <w:rPr>
          <w:b w:val="0"/>
          <w:caps/>
          <w:sz w:val="20"/>
        </w:rPr>
      </w:pPr>
    </w:p>
    <w:p w:rsidR="006462DA" w:rsidRDefault="006462DA" w:rsidP="006462DA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6462DA" w:rsidRDefault="006462DA" w:rsidP="006462D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6462DA" w:rsidRPr="008F3567" w:rsidRDefault="006462DA" w:rsidP="006462D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6462DA" w:rsidRDefault="00505845" w:rsidP="006462D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«»         </w:t>
      </w:r>
      <w:r w:rsidR="006462DA">
        <w:rPr>
          <w:rFonts w:ascii="Times New Roman" w:hAnsi="Times New Roman" w:cs="Times New Roman"/>
          <w:sz w:val="28"/>
          <w:szCs w:val="28"/>
        </w:rPr>
        <w:t>2022 г</w:t>
      </w:r>
      <w:r w:rsidR="006462DA">
        <w:rPr>
          <w:rFonts w:ascii="Times New Roman" w:hAnsi="Times New Roman" w:cs="Times New Roman"/>
          <w:sz w:val="28"/>
          <w:szCs w:val="28"/>
        </w:rPr>
        <w:tab/>
      </w:r>
      <w:r w:rsidR="006462DA">
        <w:rPr>
          <w:rFonts w:ascii="Times New Roman" w:hAnsi="Times New Roman" w:cs="Times New Roman"/>
          <w:sz w:val="28"/>
          <w:szCs w:val="28"/>
        </w:rPr>
        <w:tab/>
      </w:r>
      <w:r w:rsidR="006462DA">
        <w:rPr>
          <w:rFonts w:ascii="Times New Roman" w:hAnsi="Times New Roman" w:cs="Times New Roman"/>
          <w:sz w:val="28"/>
          <w:szCs w:val="28"/>
        </w:rPr>
        <w:tab/>
      </w:r>
      <w:r w:rsidR="006462DA">
        <w:rPr>
          <w:rFonts w:ascii="Times New Roman" w:hAnsi="Times New Roman" w:cs="Times New Roman"/>
          <w:sz w:val="28"/>
          <w:szCs w:val="28"/>
        </w:rPr>
        <w:tab/>
      </w:r>
      <w:r w:rsidR="006462DA">
        <w:rPr>
          <w:rFonts w:ascii="Times New Roman" w:hAnsi="Times New Roman" w:cs="Times New Roman"/>
          <w:sz w:val="28"/>
          <w:szCs w:val="28"/>
        </w:rPr>
        <w:tab/>
      </w:r>
      <w:r w:rsidR="006462DA">
        <w:rPr>
          <w:rFonts w:ascii="Times New Roman" w:hAnsi="Times New Roman" w:cs="Times New Roman"/>
          <w:sz w:val="28"/>
          <w:szCs w:val="28"/>
        </w:rPr>
        <w:tab/>
      </w:r>
      <w:r w:rsidR="006462DA">
        <w:rPr>
          <w:rFonts w:ascii="Times New Roman" w:hAnsi="Times New Roman" w:cs="Times New Roman"/>
          <w:sz w:val="28"/>
          <w:szCs w:val="28"/>
        </w:rPr>
        <w:tab/>
      </w:r>
      <w:r w:rsidR="006462DA">
        <w:rPr>
          <w:rFonts w:ascii="Times New Roman" w:hAnsi="Times New Roman" w:cs="Times New Roman"/>
          <w:sz w:val="28"/>
          <w:szCs w:val="28"/>
        </w:rPr>
        <w:tab/>
      </w:r>
      <w:r w:rsidR="006462DA">
        <w:rPr>
          <w:rFonts w:ascii="Times New Roman" w:hAnsi="Times New Roman" w:cs="Times New Roman"/>
          <w:sz w:val="28"/>
          <w:szCs w:val="28"/>
        </w:rPr>
        <w:tab/>
      </w:r>
      <w:r w:rsidR="006462DA">
        <w:rPr>
          <w:rFonts w:ascii="Times New Roman" w:hAnsi="Times New Roman" w:cs="Times New Roman"/>
          <w:sz w:val="28"/>
          <w:szCs w:val="28"/>
        </w:rPr>
        <w:tab/>
      </w:r>
      <w:r w:rsidR="006462DA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6462DA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6462DA" w:rsidRPr="008F3567" w:rsidRDefault="006462DA" w:rsidP="006462D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6462DA" w:rsidRPr="008F3567" w:rsidRDefault="006462DA" w:rsidP="006462D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6462DA" w:rsidRDefault="00D865C4" w:rsidP="006462D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Пурдошки</w:t>
      </w:r>
    </w:p>
    <w:p w:rsidR="006462DA" w:rsidRPr="006462DA" w:rsidRDefault="006462DA" w:rsidP="006462DA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750397" w:rsidRPr="00750397" w:rsidRDefault="00550F6A" w:rsidP="006462DA">
      <w:pPr>
        <w:pStyle w:val="1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hyperlink r:id="rId8" w:history="1">
        <w:r w:rsidR="00750397" w:rsidRPr="00750397">
          <w:rPr>
            <w:rStyle w:val="af3"/>
            <w:rFonts w:ascii="Times New Roman" w:hAnsi="Times New Roman"/>
            <w:bCs w:val="0"/>
            <w:color w:val="auto"/>
            <w:sz w:val="28"/>
            <w:szCs w:val="28"/>
          </w:rPr>
          <w:t xml:space="preserve">Об основных направлениях бюджетной и налоговой политики </w:t>
        </w:r>
        <w:r w:rsidR="00D865C4">
          <w:rPr>
            <w:rStyle w:val="af3"/>
            <w:rFonts w:ascii="Times New Roman" w:hAnsi="Times New Roman"/>
            <w:bCs w:val="0"/>
            <w:color w:val="auto"/>
            <w:sz w:val="28"/>
            <w:szCs w:val="28"/>
          </w:rPr>
          <w:t xml:space="preserve">Пурдошанского </w:t>
        </w:r>
        <w:r w:rsidR="003A150C">
          <w:rPr>
            <w:rStyle w:val="af3"/>
            <w:rFonts w:ascii="Times New Roman" w:hAnsi="Times New Roman"/>
            <w:bCs w:val="0"/>
            <w:color w:val="auto"/>
            <w:sz w:val="28"/>
            <w:szCs w:val="28"/>
          </w:rPr>
          <w:t xml:space="preserve">сельского поселения </w:t>
        </w:r>
        <w:r w:rsidR="00750397" w:rsidRPr="00750397">
          <w:rPr>
            <w:rStyle w:val="af3"/>
            <w:rFonts w:ascii="Times New Roman" w:hAnsi="Times New Roman"/>
            <w:bCs w:val="0"/>
            <w:color w:val="auto"/>
            <w:sz w:val="28"/>
            <w:szCs w:val="28"/>
          </w:rPr>
          <w:t>Темниковского муниципального района Республики Мордовия на 2023 год и на плановый период 2024 и 2025 годов</w:t>
        </w:r>
      </w:hyperlink>
    </w:p>
    <w:p w:rsidR="00750397" w:rsidRPr="00750397" w:rsidRDefault="00750397" w:rsidP="00750397">
      <w:pPr>
        <w:rPr>
          <w:rFonts w:ascii="Times New Roman" w:hAnsi="Times New Roman" w:cs="Times New Roman"/>
        </w:rPr>
      </w:pPr>
    </w:p>
    <w:p w:rsidR="00750397" w:rsidRPr="00750397" w:rsidRDefault="00750397" w:rsidP="006462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9" w:history="1">
        <w:r w:rsidRPr="00750397">
          <w:rPr>
            <w:rStyle w:val="af3"/>
            <w:rFonts w:ascii="Times New Roman" w:hAnsi="Times New Roman"/>
            <w:color w:val="auto"/>
            <w:sz w:val="28"/>
            <w:szCs w:val="28"/>
          </w:rPr>
          <w:t>статьей 172</w:t>
        </w:r>
      </w:hyperlink>
      <w:r w:rsidRPr="00750397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и Уставом </w:t>
      </w:r>
      <w:r w:rsidR="00D865C4">
        <w:rPr>
          <w:rFonts w:ascii="Times New Roman" w:hAnsi="Times New Roman" w:cs="Times New Roman"/>
          <w:sz w:val="28"/>
          <w:szCs w:val="28"/>
        </w:rPr>
        <w:t>Пурдошанского</w:t>
      </w:r>
      <w:r w:rsidR="00970735" w:rsidRPr="0097073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района, Администрация </w:t>
      </w:r>
      <w:r w:rsidR="00D865C4">
        <w:rPr>
          <w:rFonts w:ascii="Times New Roman" w:hAnsi="Times New Roman" w:cs="Times New Roman"/>
          <w:sz w:val="28"/>
          <w:szCs w:val="28"/>
        </w:rPr>
        <w:t>Пурдошанского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 </w:t>
      </w:r>
      <w:proofErr w:type="gramStart"/>
      <w:r w:rsidRPr="0075039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о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с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т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а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н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о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в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л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я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е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т:</w:t>
      </w:r>
    </w:p>
    <w:p w:rsidR="00750397" w:rsidRPr="00750397" w:rsidRDefault="00750397" w:rsidP="006462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750397">
          <w:rPr>
            <w:rStyle w:val="af3"/>
            <w:rFonts w:ascii="Times New Roman" w:hAnsi="Times New Roman"/>
            <w:color w:val="auto"/>
            <w:sz w:val="28"/>
            <w:szCs w:val="28"/>
          </w:rPr>
          <w:t>Основные направления</w:t>
        </w:r>
      </w:hyperlink>
      <w:r w:rsidRPr="00750397">
        <w:rPr>
          <w:rFonts w:ascii="Times New Roman" w:hAnsi="Times New Roman" w:cs="Times New Roman"/>
          <w:sz w:val="28"/>
          <w:szCs w:val="28"/>
        </w:rPr>
        <w:t xml:space="preserve"> бюджетной и налоговой политики </w:t>
      </w:r>
      <w:r w:rsidR="00D865C4">
        <w:rPr>
          <w:rFonts w:ascii="Times New Roman" w:hAnsi="Times New Roman" w:cs="Times New Roman"/>
          <w:sz w:val="28"/>
          <w:szCs w:val="28"/>
        </w:rPr>
        <w:t>Пурдошанского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 на 2023 год и на плановый период 2024 и 2025 годов, согласно приложению.</w:t>
      </w:r>
    </w:p>
    <w:p w:rsidR="00750397" w:rsidRPr="00750397" w:rsidRDefault="00750397" w:rsidP="006462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2"/>
      <w:r w:rsidRPr="00750397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5039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50397">
        <w:rPr>
          <w:rFonts w:ascii="Times New Roman" w:hAnsi="Times New Roman" w:cs="Times New Roman"/>
          <w:sz w:val="28"/>
          <w:szCs w:val="28"/>
        </w:rPr>
        <w:t xml:space="preserve"> выполнением настоящего </w:t>
      </w:r>
      <w:r>
        <w:rPr>
          <w:rFonts w:ascii="Times New Roman" w:hAnsi="Times New Roman" w:cs="Times New Roman"/>
          <w:sz w:val="28"/>
          <w:szCs w:val="28"/>
        </w:rPr>
        <w:t>постановления оставляю за собой.</w:t>
      </w:r>
    </w:p>
    <w:p w:rsidR="00750397" w:rsidRPr="00750397" w:rsidRDefault="00750397" w:rsidP="006462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Настоящее постановление подлежит официальному опубликованию и вступает в законную силу с 1 января 2023 года.</w:t>
      </w:r>
    </w:p>
    <w:p w:rsidR="00750397" w:rsidRDefault="00750397" w:rsidP="00750397">
      <w:pPr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  <w:bookmarkStart w:id="1" w:name="sub_1000"/>
      <w:bookmarkEnd w:id="0"/>
    </w:p>
    <w:p w:rsidR="00750397" w:rsidRDefault="00750397" w:rsidP="00750397">
      <w:pPr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</w:p>
    <w:p w:rsidR="00750397" w:rsidRPr="00750397" w:rsidRDefault="00750397" w:rsidP="006462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50397">
        <w:rPr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  <w:r w:rsidR="00D865C4">
        <w:rPr>
          <w:rFonts w:ascii="Times New Roman" w:hAnsi="Times New Roman" w:cs="Times New Roman"/>
          <w:color w:val="000000"/>
          <w:sz w:val="28"/>
          <w:szCs w:val="28"/>
        </w:rPr>
        <w:t>Пурдошанского</w:t>
      </w:r>
    </w:p>
    <w:p w:rsidR="00750397" w:rsidRPr="00750397" w:rsidRDefault="00750397" w:rsidP="006462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750397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50397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50397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50397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50397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6462DA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</w:t>
      </w:r>
      <w:r w:rsidRPr="00750397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D865C4">
        <w:rPr>
          <w:rFonts w:ascii="Times New Roman" w:hAnsi="Times New Roman" w:cs="Times New Roman"/>
          <w:color w:val="000000"/>
          <w:sz w:val="28"/>
          <w:szCs w:val="28"/>
        </w:rPr>
        <w:t xml:space="preserve">Н.В. </w:t>
      </w:r>
      <w:proofErr w:type="spellStart"/>
      <w:r w:rsidR="00D865C4">
        <w:rPr>
          <w:rFonts w:ascii="Times New Roman" w:hAnsi="Times New Roman" w:cs="Times New Roman"/>
          <w:color w:val="000000"/>
          <w:sz w:val="28"/>
          <w:szCs w:val="28"/>
        </w:rPr>
        <w:t>Кашуркин</w:t>
      </w:r>
      <w:proofErr w:type="spellEnd"/>
    </w:p>
    <w:p w:rsidR="00750397" w:rsidRPr="00750397" w:rsidRDefault="00750397" w:rsidP="006462DA">
      <w:pPr>
        <w:spacing w:after="0" w:line="240" w:lineRule="auto"/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</w:p>
    <w:p w:rsidR="00750397" w:rsidRDefault="00750397" w:rsidP="00750397">
      <w:pPr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</w:p>
    <w:p w:rsidR="00750397" w:rsidRPr="006462DA" w:rsidRDefault="00750397" w:rsidP="006462DA">
      <w:pPr>
        <w:spacing w:after="0"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4"/>
          <w:szCs w:val="24"/>
        </w:rPr>
      </w:pPr>
      <w:r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lastRenderedPageBreak/>
        <w:t xml:space="preserve">                                                           </w:t>
      </w:r>
      <w:r w:rsidRPr="006462DA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Приложение</w:t>
      </w:r>
    </w:p>
    <w:p w:rsidR="00750397" w:rsidRPr="006462DA" w:rsidRDefault="00750397" w:rsidP="006462DA">
      <w:pPr>
        <w:spacing w:after="0"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4"/>
          <w:szCs w:val="24"/>
        </w:rPr>
      </w:pPr>
      <w:r w:rsidRPr="006462DA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УТВЕРЖДЕНО</w:t>
      </w:r>
    </w:p>
    <w:p w:rsidR="00750397" w:rsidRPr="006462DA" w:rsidRDefault="00750397" w:rsidP="006462DA">
      <w:pPr>
        <w:spacing w:after="0"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4"/>
          <w:szCs w:val="24"/>
        </w:rPr>
      </w:pPr>
      <w:r w:rsidRPr="006462DA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постановлением Администрации</w:t>
      </w:r>
    </w:p>
    <w:p w:rsidR="003A150C" w:rsidRPr="006462DA" w:rsidRDefault="00D865C4" w:rsidP="006462DA">
      <w:pPr>
        <w:spacing w:after="0"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4"/>
          <w:szCs w:val="24"/>
        </w:rPr>
      </w:pPr>
      <w:r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Пурдошанского</w:t>
      </w:r>
      <w:r w:rsidR="003A150C" w:rsidRPr="006462DA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 xml:space="preserve"> сельского поселения</w:t>
      </w:r>
    </w:p>
    <w:p w:rsidR="00750397" w:rsidRPr="006462DA" w:rsidRDefault="003A150C" w:rsidP="006462DA">
      <w:pPr>
        <w:spacing w:after="0"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4"/>
          <w:szCs w:val="24"/>
        </w:rPr>
      </w:pPr>
      <w:r w:rsidRPr="006462DA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750397" w:rsidRPr="006462DA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Темниковского муниципального района</w:t>
      </w:r>
    </w:p>
    <w:p w:rsidR="00750397" w:rsidRPr="006462DA" w:rsidRDefault="00750397" w:rsidP="006462DA">
      <w:pPr>
        <w:spacing w:after="0"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4"/>
          <w:szCs w:val="24"/>
        </w:rPr>
      </w:pPr>
      <w:r w:rsidRPr="006462DA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от «___»_____________2022 г.______</w:t>
      </w:r>
    </w:p>
    <w:bookmarkEnd w:id="1"/>
    <w:p w:rsidR="00750397" w:rsidRDefault="00750397" w:rsidP="00750397">
      <w:pPr>
        <w:spacing w:line="240" w:lineRule="auto"/>
      </w:pPr>
    </w:p>
    <w:p w:rsidR="00750397" w:rsidRDefault="00750397" w:rsidP="00750397">
      <w:pPr>
        <w:pStyle w:val="1"/>
      </w:pPr>
    </w:p>
    <w:p w:rsidR="00750397" w:rsidRDefault="00750397" w:rsidP="006462DA">
      <w:pPr>
        <w:pStyle w:val="1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50397">
        <w:rPr>
          <w:rFonts w:ascii="Times New Roman" w:hAnsi="Times New Roman"/>
          <w:sz w:val="28"/>
          <w:szCs w:val="28"/>
        </w:rPr>
        <w:t>Основные направления</w:t>
      </w:r>
      <w:r w:rsidRPr="00750397">
        <w:rPr>
          <w:rFonts w:ascii="Times New Roman" w:hAnsi="Times New Roman"/>
          <w:sz w:val="28"/>
          <w:szCs w:val="28"/>
        </w:rPr>
        <w:br/>
        <w:t xml:space="preserve">бюджетной и налоговой политики </w:t>
      </w:r>
      <w:r w:rsidR="00D865C4">
        <w:rPr>
          <w:rFonts w:ascii="Times New Roman" w:hAnsi="Times New Roman"/>
          <w:sz w:val="28"/>
          <w:szCs w:val="28"/>
        </w:rPr>
        <w:t>Пурдошанского</w:t>
      </w:r>
      <w:r w:rsidR="003A150C" w:rsidRPr="003A150C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 на 2023 год и на плановый период 2024 и 2025 годов</w:t>
      </w:r>
      <w:r w:rsidRPr="00750397">
        <w:rPr>
          <w:rFonts w:ascii="Times New Roman" w:hAnsi="Times New Roman"/>
          <w:sz w:val="28"/>
          <w:szCs w:val="28"/>
        </w:rPr>
        <w:br/>
      </w:r>
    </w:p>
    <w:p w:rsidR="006462DA" w:rsidRPr="006462DA" w:rsidRDefault="006462DA" w:rsidP="006462DA"/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50397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r w:rsidR="00D865C4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 на 2023 год и на плановый период 2024 и 2025 годов разработаны в соответствии со статьей 172 Бюджетного кодекса Российской Федерации с учетом итогов реализации бюджетной и налоговой политики </w:t>
      </w:r>
      <w:r w:rsidR="00D865C4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 в предшествующий период. </w:t>
      </w:r>
      <w:proofErr w:type="gramEnd"/>
    </w:p>
    <w:p w:rsidR="00750397" w:rsidRDefault="00750397" w:rsidP="006462D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50397">
        <w:rPr>
          <w:rFonts w:ascii="Times New Roman" w:hAnsi="Times New Roman" w:cs="Times New Roman"/>
          <w:sz w:val="28"/>
          <w:szCs w:val="28"/>
        </w:rPr>
        <w:t xml:space="preserve">Целью Основных направлений бюджетной и налоговой политики </w:t>
      </w:r>
      <w:r w:rsidR="00D865C4">
        <w:rPr>
          <w:rFonts w:ascii="Times New Roman" w:hAnsi="Times New Roman" w:cs="Times New Roman"/>
          <w:sz w:val="28"/>
          <w:szCs w:val="28"/>
        </w:rPr>
        <w:t>Пурдошанского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 на 2023 год и на плановый период 2024 и 2025 годов является определение условий, используемых при составлении проекта районного бюджета </w:t>
      </w:r>
      <w:r w:rsidR="00D865C4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 на 2023 год и на плановый период 2024 и 2025 годов, подходов к его формированию, основных характеристик</w:t>
      </w:r>
      <w:proofErr w:type="gramEnd"/>
      <w:r w:rsidRPr="00750397">
        <w:rPr>
          <w:rFonts w:ascii="Times New Roman" w:hAnsi="Times New Roman" w:cs="Times New Roman"/>
          <w:sz w:val="28"/>
          <w:szCs w:val="28"/>
        </w:rPr>
        <w:t xml:space="preserve"> и прогнозируемых параметров районного бюджета </w:t>
      </w:r>
      <w:r w:rsidR="00D865C4">
        <w:rPr>
          <w:rFonts w:ascii="Times New Roman" w:hAnsi="Times New Roman" w:cs="Times New Roman"/>
          <w:sz w:val="28"/>
          <w:szCs w:val="28"/>
        </w:rPr>
        <w:t>Пурдошанского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 на 2023 – 2025</w:t>
      </w:r>
      <w:r w:rsidR="006462DA">
        <w:rPr>
          <w:rFonts w:ascii="Times New Roman" w:hAnsi="Times New Roman" w:cs="Times New Roman"/>
          <w:sz w:val="28"/>
          <w:szCs w:val="28"/>
        </w:rPr>
        <w:t>гг</w:t>
      </w:r>
    </w:p>
    <w:p w:rsidR="006462DA" w:rsidRPr="00750397" w:rsidRDefault="006462DA" w:rsidP="006462D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3269F8" w:rsidRDefault="00750397" w:rsidP="006462D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69F8">
        <w:rPr>
          <w:rFonts w:ascii="Times New Roman" w:hAnsi="Times New Roman" w:cs="Times New Roman"/>
          <w:b/>
          <w:sz w:val="28"/>
          <w:szCs w:val="28"/>
        </w:rPr>
        <w:t xml:space="preserve">Основные направления бюджетной политики </w:t>
      </w:r>
      <w:r w:rsidR="00D865C4">
        <w:rPr>
          <w:rFonts w:ascii="Times New Roman" w:hAnsi="Times New Roman" w:cs="Times New Roman"/>
          <w:b/>
          <w:sz w:val="28"/>
          <w:szCs w:val="28"/>
        </w:rPr>
        <w:t>Пурдошанского</w:t>
      </w:r>
      <w:r w:rsidR="003A150C" w:rsidRPr="003A150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3269F8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 Республики Мордовия на 2023 год и на плановый период 2024 и 2025 годов</w:t>
      </w:r>
    </w:p>
    <w:p w:rsidR="006462DA" w:rsidRDefault="006462DA" w:rsidP="006462D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50397" w:rsidRPr="00750397" w:rsidRDefault="003269F8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269F8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политики </w:t>
      </w:r>
      <w:r w:rsidR="00D865C4">
        <w:rPr>
          <w:rFonts w:ascii="Times New Roman" w:hAnsi="Times New Roman" w:cs="Times New Roman"/>
          <w:sz w:val="28"/>
          <w:szCs w:val="28"/>
        </w:rPr>
        <w:t>Пурдошанского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3269F8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 на 2023 год и на плановый период 2024 и 2025 годов</w:t>
      </w:r>
      <w:r w:rsidR="00750397" w:rsidRPr="00750397">
        <w:rPr>
          <w:rFonts w:ascii="Times New Roman" w:hAnsi="Times New Roman" w:cs="Times New Roman"/>
          <w:sz w:val="28"/>
          <w:szCs w:val="28"/>
        </w:rPr>
        <w:t xml:space="preserve"> предусматривают дальнейшую реализацию мер по обеспечению устойчивости и сбалансированности бюджетной системы </w:t>
      </w:r>
      <w:r w:rsidR="00D865C4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750397" w:rsidRPr="0075039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района, стратегической </w:t>
      </w:r>
      <w:proofErr w:type="spellStart"/>
      <w:r w:rsidR="00750397" w:rsidRPr="00750397">
        <w:rPr>
          <w:rFonts w:ascii="Times New Roman" w:hAnsi="Times New Roman" w:cs="Times New Roman"/>
          <w:sz w:val="28"/>
          <w:szCs w:val="28"/>
        </w:rPr>
        <w:t>приоритизации</w:t>
      </w:r>
      <w:proofErr w:type="spellEnd"/>
      <w:r w:rsidR="00750397" w:rsidRPr="00750397">
        <w:rPr>
          <w:rFonts w:ascii="Times New Roman" w:hAnsi="Times New Roman" w:cs="Times New Roman"/>
          <w:sz w:val="28"/>
          <w:szCs w:val="28"/>
        </w:rPr>
        <w:t xml:space="preserve"> расходов бюджета </w:t>
      </w:r>
      <w:r w:rsidR="00D865C4">
        <w:rPr>
          <w:rFonts w:ascii="Times New Roman" w:hAnsi="Times New Roman" w:cs="Times New Roman"/>
          <w:sz w:val="28"/>
          <w:szCs w:val="28"/>
        </w:rPr>
        <w:t>Пурдошанского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750397" w:rsidRPr="0075039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 (далее – </w:t>
      </w:r>
      <w:r w:rsidR="00505845">
        <w:rPr>
          <w:rFonts w:ascii="Times New Roman" w:hAnsi="Times New Roman" w:cs="Times New Roman"/>
          <w:sz w:val="28"/>
          <w:szCs w:val="28"/>
        </w:rPr>
        <w:t>сельский</w:t>
      </w:r>
      <w:r w:rsidR="00750397" w:rsidRPr="00750397">
        <w:rPr>
          <w:rFonts w:ascii="Times New Roman" w:hAnsi="Times New Roman" w:cs="Times New Roman"/>
          <w:sz w:val="28"/>
          <w:szCs w:val="28"/>
        </w:rPr>
        <w:t xml:space="preserve"> бюджет), повышению обоснованности и эффективности бюджетных</w:t>
      </w:r>
      <w:proofErr w:type="gramEnd"/>
      <w:r w:rsidR="00750397" w:rsidRPr="00750397">
        <w:rPr>
          <w:rFonts w:ascii="Times New Roman" w:hAnsi="Times New Roman" w:cs="Times New Roman"/>
          <w:sz w:val="28"/>
          <w:szCs w:val="28"/>
        </w:rPr>
        <w:t xml:space="preserve"> расходов.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lastRenderedPageBreak/>
        <w:t>Исходя из поставленной цели и учитывая нестабильную экономическую ситуацию, связанную с внешними санкциями, а также с сохраняющейся непредсказуемостью си</w:t>
      </w:r>
      <w:r w:rsidR="00087B64">
        <w:rPr>
          <w:rFonts w:ascii="Times New Roman" w:hAnsi="Times New Roman" w:cs="Times New Roman"/>
          <w:sz w:val="28"/>
          <w:szCs w:val="28"/>
        </w:rPr>
        <w:t xml:space="preserve">туации с распространением корона </w:t>
      </w:r>
      <w:r w:rsidRPr="00750397">
        <w:rPr>
          <w:rFonts w:ascii="Times New Roman" w:hAnsi="Times New Roman" w:cs="Times New Roman"/>
          <w:sz w:val="28"/>
          <w:szCs w:val="28"/>
        </w:rPr>
        <w:t xml:space="preserve">вирусной инфекции, бюджетная политика </w:t>
      </w:r>
      <w:r w:rsidR="00087B64">
        <w:rPr>
          <w:rFonts w:ascii="Times New Roman" w:hAnsi="Times New Roman" w:cs="Times New Roman"/>
          <w:sz w:val="28"/>
          <w:szCs w:val="28"/>
        </w:rPr>
        <w:t>Пурдошанского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 будет направлена на решение следующих задач: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1) формирование реалистичного прогноза поступления доходов в </w:t>
      </w:r>
      <w:r w:rsidR="00505845">
        <w:rPr>
          <w:rFonts w:ascii="Times New Roman" w:hAnsi="Times New Roman" w:cs="Times New Roman"/>
          <w:sz w:val="28"/>
          <w:szCs w:val="28"/>
        </w:rPr>
        <w:t xml:space="preserve">местный </w:t>
      </w:r>
      <w:r w:rsidRPr="00750397">
        <w:rPr>
          <w:rFonts w:ascii="Times New Roman" w:hAnsi="Times New Roman" w:cs="Times New Roman"/>
          <w:sz w:val="28"/>
          <w:szCs w:val="28"/>
        </w:rPr>
        <w:t xml:space="preserve"> бюджет;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2) определение четких приоритетов использования бюджетных средств с учетом текущей экономической ситуации: при планировании бюджетных ассигнований подлежит детальной оценке содержание муниципальных программ </w:t>
      </w:r>
      <w:r w:rsidR="00087B64">
        <w:rPr>
          <w:rFonts w:ascii="Times New Roman" w:hAnsi="Times New Roman" w:cs="Times New Roman"/>
          <w:sz w:val="28"/>
          <w:szCs w:val="28"/>
        </w:rPr>
        <w:t>Пурдошанского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Мордовия, соразмерение объемов их финансового обеспечения с реальными возможностями </w:t>
      </w:r>
      <w:r w:rsidR="00505845">
        <w:rPr>
          <w:rFonts w:ascii="Times New Roman" w:hAnsi="Times New Roman" w:cs="Times New Roman"/>
          <w:sz w:val="28"/>
          <w:szCs w:val="28"/>
        </w:rPr>
        <w:t>местного</w:t>
      </w:r>
      <w:r w:rsidRPr="00750397">
        <w:rPr>
          <w:rFonts w:ascii="Times New Roman" w:hAnsi="Times New Roman" w:cs="Times New Roman"/>
          <w:sz w:val="28"/>
          <w:szCs w:val="28"/>
        </w:rPr>
        <w:t xml:space="preserve"> бюджета. </w:t>
      </w:r>
      <w:proofErr w:type="gramStart"/>
      <w:r w:rsidRPr="00750397">
        <w:rPr>
          <w:rFonts w:ascii="Times New Roman" w:hAnsi="Times New Roman" w:cs="Times New Roman"/>
          <w:sz w:val="28"/>
          <w:szCs w:val="28"/>
        </w:rPr>
        <w:t xml:space="preserve">Принятие новых расходных обязательств с учетом их эффективности и возможных сроков и механизмов реализации исключительно при наличии дополнительных доходов </w:t>
      </w:r>
      <w:r w:rsidR="00505845">
        <w:rPr>
          <w:rFonts w:ascii="Times New Roman" w:hAnsi="Times New Roman" w:cs="Times New Roman"/>
          <w:sz w:val="28"/>
          <w:szCs w:val="28"/>
        </w:rPr>
        <w:t xml:space="preserve">местного </w:t>
      </w:r>
      <w:r w:rsidRPr="00750397">
        <w:rPr>
          <w:rFonts w:ascii="Times New Roman" w:hAnsi="Times New Roman" w:cs="Times New Roman"/>
          <w:sz w:val="28"/>
          <w:szCs w:val="28"/>
        </w:rPr>
        <w:t>бюджета для их гарантированного исполнения в целях снижения риска неисполнения (либо исполнения в неполном объеме) действующих расходных обязательств, а также недопущение установления расходных обязательств, не связанных с решением вопросов, отнесенных Конституцией Российской Федерации и федеральными законами к полномочиям органов муниципальной</w:t>
      </w:r>
      <w:proofErr w:type="gramEnd"/>
      <w:r w:rsidRPr="00750397">
        <w:rPr>
          <w:rFonts w:ascii="Times New Roman" w:hAnsi="Times New Roman" w:cs="Times New Roman"/>
          <w:sz w:val="28"/>
          <w:szCs w:val="28"/>
        </w:rPr>
        <w:t xml:space="preserve"> власти субъектов Российской Федерации;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3) концентрация финансовых ресурсов на достижении целей, показателей и результатов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 (далее – региональный проект);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4) повышение эффективности и результативности бюджетных расходов за счет: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безусловного исполнения принятых бюджетных обязательств;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реализации мероприятий, направленных на обеспечение соблюдения условий и целей предоставления межбюджетных трансфертов из федерального бюджета, республиканского бюджета, своевременности и полноты их освоения;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поддержания оптимальных объемов и структуры расходов на реализацию функций и полномочий органов местного самоуправления </w:t>
      </w:r>
      <w:r w:rsidR="00087B64">
        <w:rPr>
          <w:rFonts w:ascii="Times New Roman" w:hAnsi="Times New Roman" w:cs="Times New Roman"/>
          <w:sz w:val="28"/>
          <w:szCs w:val="28"/>
        </w:rPr>
        <w:t>Пурдошанского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Мордовия, стимулирования их к поиску внутренних резервов и оптимизации бюджетных расходов, исключения дублирования функций и полномочий;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обеспечения соблюдения норматива формирования расходов на содержание органов местного самоуправления </w:t>
      </w:r>
      <w:r w:rsidR="00087B64">
        <w:rPr>
          <w:rFonts w:ascii="Times New Roman" w:hAnsi="Times New Roman" w:cs="Times New Roman"/>
          <w:sz w:val="28"/>
          <w:szCs w:val="28"/>
        </w:rPr>
        <w:t>Пурдошанского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Мордовия, установленного Правительством Республики Мордовия;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повышения качества оказания муниципальных услуг (выполнения работ);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50397">
        <w:rPr>
          <w:rFonts w:ascii="Times New Roman" w:hAnsi="Times New Roman" w:cs="Times New Roman"/>
          <w:sz w:val="28"/>
          <w:szCs w:val="28"/>
        </w:rPr>
        <w:lastRenderedPageBreak/>
        <w:t xml:space="preserve">оптимизации расходов на содержание муниципальных учреждений </w:t>
      </w:r>
      <w:r w:rsidR="00087B64">
        <w:rPr>
          <w:rFonts w:ascii="Times New Roman" w:hAnsi="Times New Roman" w:cs="Times New Roman"/>
          <w:sz w:val="28"/>
          <w:szCs w:val="28"/>
        </w:rPr>
        <w:t>Пурдошанского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 путем повышения эффективности использования муниципального имущества</w:t>
      </w:r>
      <w:r w:rsidR="00087B64">
        <w:rPr>
          <w:rFonts w:ascii="Times New Roman" w:hAnsi="Times New Roman" w:cs="Times New Roman"/>
          <w:sz w:val="28"/>
          <w:szCs w:val="28"/>
        </w:rPr>
        <w:t xml:space="preserve"> Пурдошанского 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Мордовия, находящегося в их пользовании, включая рациональное использование занимаемых площадей, экономии на закупках товаров, работ и услуг для муниципальных нужд</w:t>
      </w:r>
      <w:r w:rsidR="00087B64">
        <w:rPr>
          <w:rFonts w:ascii="Times New Roman" w:hAnsi="Times New Roman" w:cs="Times New Roman"/>
          <w:sz w:val="28"/>
          <w:szCs w:val="28"/>
        </w:rPr>
        <w:t xml:space="preserve"> Пурдошанского 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Мордовия, в том числе за счет</w:t>
      </w:r>
      <w:proofErr w:type="gramEnd"/>
      <w:r w:rsidRPr="00750397">
        <w:rPr>
          <w:rFonts w:ascii="Times New Roman" w:hAnsi="Times New Roman" w:cs="Times New Roman"/>
          <w:sz w:val="28"/>
          <w:szCs w:val="28"/>
        </w:rPr>
        <w:t xml:space="preserve"> повышения эффективности процедур проведения закупок,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активного привлечения муниципальными учреждениями </w:t>
      </w:r>
      <w:r w:rsidR="00087B64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 внебюджетных ресурсов, средств от предпринимательской и иной приносящей доход деятельности;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обеспечения гибкости бюджетных процедур в случае изменения экономических условий или тактических приоритетов за счет повышения оперативности принятия решений в бюджетной сфере;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повышения операционной эффективности использования бюджетных сре</w:t>
      </w:r>
      <w:proofErr w:type="gramStart"/>
      <w:r w:rsidRPr="00750397">
        <w:rPr>
          <w:rFonts w:ascii="Times New Roman" w:hAnsi="Times New Roman" w:cs="Times New Roman"/>
          <w:sz w:val="28"/>
          <w:szCs w:val="28"/>
        </w:rPr>
        <w:t>дств с р</w:t>
      </w:r>
      <w:proofErr w:type="gramEnd"/>
      <w:r w:rsidRPr="00750397">
        <w:rPr>
          <w:rFonts w:ascii="Times New Roman" w:hAnsi="Times New Roman" w:cs="Times New Roman"/>
          <w:sz w:val="28"/>
          <w:szCs w:val="28"/>
        </w:rPr>
        <w:t>асширением практики использования механизмов казначейского сопровождения в соответствии с бюджетным законодательством;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применения предусмотренных федеральным законодательством конкурентных способов осуществления закупок товаров, работ и услуг для обеспечения муниципальных нужд </w:t>
      </w:r>
      <w:r w:rsidR="00087B64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Мордовия, образующих экономию бюджетных сре</w:t>
      </w:r>
      <w:proofErr w:type="gramStart"/>
      <w:r w:rsidRPr="00750397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750397">
        <w:rPr>
          <w:rFonts w:ascii="Times New Roman" w:hAnsi="Times New Roman" w:cs="Times New Roman"/>
          <w:sz w:val="28"/>
          <w:szCs w:val="28"/>
        </w:rPr>
        <w:t>и сохранении качественных характеристик приобретаемых товаров, работ и услуг;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обязательного применения единых федеральных стандартов внутреннего финансового аудита;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соблюдения финансовой дисциплины всеми главными распорядителями и получателями средств </w:t>
      </w:r>
      <w:r w:rsidR="002D126A">
        <w:rPr>
          <w:rFonts w:ascii="Times New Roman" w:hAnsi="Times New Roman" w:cs="Times New Roman"/>
          <w:sz w:val="28"/>
          <w:szCs w:val="28"/>
        </w:rPr>
        <w:t xml:space="preserve">местного </w:t>
      </w:r>
      <w:r w:rsidRPr="00750397">
        <w:rPr>
          <w:rFonts w:ascii="Times New Roman" w:hAnsi="Times New Roman" w:cs="Times New Roman"/>
          <w:sz w:val="28"/>
          <w:szCs w:val="28"/>
        </w:rPr>
        <w:t xml:space="preserve"> бюджета;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недопущения роста кредиторской и дебиторской задолженности районного бюджета, принятия мер по ликвидации сложившейся кредиторской и дебиторской задолженности районного бюджета;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750397">
        <w:rPr>
          <w:rFonts w:ascii="Times New Roman" w:hAnsi="Times New Roman" w:cs="Times New Roman"/>
          <w:sz w:val="28"/>
          <w:szCs w:val="28"/>
        </w:rPr>
        <w:t>проведения мероприятий по дальнейшей централизации функций по ведению бюджетного (бухгалтерского) учета и формированию отчетности;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5) обеспечение открытости и прозрачности бюджетного процесса </w:t>
      </w:r>
      <w:r w:rsidR="00087B64">
        <w:rPr>
          <w:rFonts w:ascii="Times New Roman" w:hAnsi="Times New Roman" w:cs="Times New Roman"/>
          <w:sz w:val="28"/>
          <w:szCs w:val="28"/>
        </w:rPr>
        <w:t>Пурдошанского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6) повышение уровня финансовой грамотности населения </w:t>
      </w:r>
      <w:r w:rsidR="00087B64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7) осуществление мониторинга и </w:t>
      </w:r>
      <w:proofErr w:type="gramStart"/>
      <w:r w:rsidRPr="00750397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750397">
        <w:rPr>
          <w:rFonts w:ascii="Times New Roman" w:hAnsi="Times New Roman" w:cs="Times New Roman"/>
          <w:sz w:val="28"/>
          <w:szCs w:val="28"/>
        </w:rPr>
        <w:t xml:space="preserve"> эффективным использованием бюджетных средств;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lastRenderedPageBreak/>
        <w:t xml:space="preserve">8) обеспечение </w:t>
      </w:r>
      <w:proofErr w:type="gramStart"/>
      <w:r w:rsidRPr="00750397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750397">
        <w:rPr>
          <w:rFonts w:ascii="Times New Roman" w:hAnsi="Times New Roman" w:cs="Times New Roman"/>
          <w:sz w:val="28"/>
          <w:szCs w:val="28"/>
        </w:rPr>
        <w:t xml:space="preserve"> законностью, своевременностью, достижением целей, показателей и результатов реализации региональных проектов и муниципальных программ </w:t>
      </w:r>
      <w:r w:rsidR="00087B64">
        <w:rPr>
          <w:rFonts w:ascii="Times New Roman" w:hAnsi="Times New Roman" w:cs="Times New Roman"/>
          <w:sz w:val="28"/>
          <w:szCs w:val="28"/>
        </w:rPr>
        <w:t>Пурдошанского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9) обеспечение финансовой устойчивости и самостоятельности сельских поселений </w:t>
      </w:r>
      <w:r w:rsidR="00087B64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 (далее – сельские поселения), основными </w:t>
      </w:r>
      <w:proofErr w:type="gramStart"/>
      <w:r w:rsidRPr="00750397">
        <w:rPr>
          <w:rFonts w:ascii="Times New Roman" w:hAnsi="Times New Roman" w:cs="Times New Roman"/>
          <w:sz w:val="28"/>
          <w:szCs w:val="28"/>
        </w:rPr>
        <w:t>направлениями</w:t>
      </w:r>
      <w:proofErr w:type="gramEnd"/>
      <w:r w:rsidRPr="00750397">
        <w:rPr>
          <w:rFonts w:ascii="Times New Roman" w:hAnsi="Times New Roman" w:cs="Times New Roman"/>
          <w:sz w:val="28"/>
          <w:szCs w:val="28"/>
        </w:rPr>
        <w:t xml:space="preserve"> для которой будут являться: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выравнивание сельских поселений по уровню бюджетной обеспеченности с сохранением действующих подходов к распределению дотаций на выравнивание бюджетной обеспеченности;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стимулирование органов местного самоуправления в увеличении собственной доходной базы бюджетов сельских поселений;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соблюдение сельскими поселениями требований бюджетного законодательства и повышение качества управления бюджетным процессом в сельских поселениях;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вовлечение граждан в процесс принятия решений о распределении муниципальных финансов;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недопущение роста долговой нагрузки и образования просроченной кредиторской задолженности;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реализация мероприятий по обеспечению открытости и прозрачности бюджетного процесса в сельских поселениях;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повышение предсказуемости предоставления межбюджетных трансфертов бюджетам сельских поселений за счет максимального распределения межбюджетных трансфертов между сельскими поселениями решением </w:t>
      </w:r>
      <w:r w:rsidR="00087B64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 о районном бюджете на соответствующий финансовый год и плановый период;</w:t>
      </w:r>
    </w:p>
    <w:p w:rsid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повышение эффективности предоставления це</w:t>
      </w:r>
      <w:r>
        <w:rPr>
          <w:rFonts w:ascii="Times New Roman" w:hAnsi="Times New Roman" w:cs="Times New Roman"/>
          <w:sz w:val="28"/>
          <w:szCs w:val="28"/>
        </w:rPr>
        <w:t>левых межбюджетных трансфертов.</w:t>
      </w:r>
    </w:p>
    <w:p w:rsidR="006462DA" w:rsidRPr="00750397" w:rsidRDefault="006462DA" w:rsidP="006462D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269F8" w:rsidRDefault="00750397" w:rsidP="006462D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269F8">
        <w:rPr>
          <w:rFonts w:ascii="Times New Roman" w:hAnsi="Times New Roman" w:cs="Times New Roman"/>
          <w:b/>
          <w:sz w:val="28"/>
          <w:szCs w:val="28"/>
        </w:rPr>
        <w:t xml:space="preserve">Основные направления налоговой политики </w:t>
      </w:r>
      <w:r w:rsidR="00087B64">
        <w:rPr>
          <w:rFonts w:ascii="Times New Roman" w:hAnsi="Times New Roman" w:cs="Times New Roman"/>
          <w:b/>
          <w:sz w:val="28"/>
          <w:szCs w:val="28"/>
        </w:rPr>
        <w:t xml:space="preserve">Пурдошанского </w:t>
      </w:r>
      <w:r w:rsidR="003A150C" w:rsidRPr="003A150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3269F8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 Республики Мордовия на 2023 год и на плановый период 2024 и 2025 годов</w:t>
      </w:r>
    </w:p>
    <w:p w:rsidR="006462DA" w:rsidRDefault="006462DA" w:rsidP="003269F8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50397" w:rsidRPr="00750397" w:rsidRDefault="003269F8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9F8">
        <w:rPr>
          <w:rFonts w:ascii="Times New Roman" w:hAnsi="Times New Roman" w:cs="Times New Roman"/>
          <w:sz w:val="28"/>
          <w:szCs w:val="28"/>
        </w:rPr>
        <w:t xml:space="preserve">Основные направления налоговой политики </w:t>
      </w:r>
      <w:r w:rsidR="00087B64">
        <w:rPr>
          <w:rFonts w:ascii="Times New Roman" w:hAnsi="Times New Roman" w:cs="Times New Roman"/>
          <w:sz w:val="28"/>
          <w:szCs w:val="28"/>
        </w:rPr>
        <w:t>Пурдошанского</w:t>
      </w:r>
      <w:r w:rsidR="00970735" w:rsidRPr="0097073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3269F8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 на 2023 год и на плановый период 2024 и 2025 годов</w:t>
      </w:r>
      <w:r w:rsidRPr="00B32550">
        <w:rPr>
          <w:sz w:val="28"/>
          <w:szCs w:val="28"/>
        </w:rPr>
        <w:t xml:space="preserve"> </w:t>
      </w:r>
      <w:r w:rsidR="00750397" w:rsidRPr="00750397">
        <w:rPr>
          <w:rFonts w:ascii="Times New Roman" w:hAnsi="Times New Roman" w:cs="Times New Roman"/>
          <w:sz w:val="28"/>
          <w:szCs w:val="28"/>
        </w:rPr>
        <w:t>формируются в условиях изменения геополитической обстановки и реализации плана первоочередных действий по обеспечению развития российской эконом</w:t>
      </w:r>
      <w:r w:rsidR="00087B64">
        <w:rPr>
          <w:rFonts w:ascii="Times New Roman" w:hAnsi="Times New Roman" w:cs="Times New Roman"/>
          <w:sz w:val="28"/>
          <w:szCs w:val="28"/>
        </w:rPr>
        <w:t>ики в условиях внешнего санкцион</w:t>
      </w:r>
      <w:r w:rsidR="00750397" w:rsidRPr="00750397">
        <w:rPr>
          <w:rFonts w:ascii="Times New Roman" w:hAnsi="Times New Roman" w:cs="Times New Roman"/>
          <w:sz w:val="28"/>
          <w:szCs w:val="28"/>
        </w:rPr>
        <w:t>ного давления, разработанного Правительством Российской Федерации.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50397">
        <w:rPr>
          <w:rFonts w:ascii="Times New Roman" w:hAnsi="Times New Roman" w:cs="Times New Roman"/>
          <w:sz w:val="28"/>
          <w:szCs w:val="28"/>
        </w:rPr>
        <w:t xml:space="preserve">Приоритетом налоговой политики </w:t>
      </w:r>
      <w:r w:rsidR="00087B64">
        <w:rPr>
          <w:rFonts w:ascii="Times New Roman" w:hAnsi="Times New Roman" w:cs="Times New Roman"/>
          <w:sz w:val="28"/>
          <w:szCs w:val="28"/>
        </w:rPr>
        <w:t>Пурдошанского</w:t>
      </w:r>
      <w:r w:rsidR="00970735" w:rsidRPr="0097073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 в среднесрочной перспективе является предотвращение влияния ухудшения экономической ситуации </w:t>
      </w:r>
      <w:r w:rsidRPr="00750397">
        <w:rPr>
          <w:rFonts w:ascii="Times New Roman" w:hAnsi="Times New Roman" w:cs="Times New Roman"/>
          <w:sz w:val="28"/>
          <w:szCs w:val="28"/>
        </w:rPr>
        <w:lastRenderedPageBreak/>
        <w:t>на развитие отраслей экономики, обеспечение стабильных налоговых условий для хозяйствующих субъектов, а также продолжение работы по укреплению доходной базы районного бюджета за счет наращивания стабильных доходных источников и мобилизации в бюджет имеющихся резервов, повышение эффективности стимулирующей функции налоговой системы и</w:t>
      </w:r>
      <w:proofErr w:type="gramEnd"/>
      <w:r w:rsidRPr="00750397">
        <w:rPr>
          <w:rFonts w:ascii="Times New Roman" w:hAnsi="Times New Roman" w:cs="Times New Roman"/>
          <w:sz w:val="28"/>
          <w:szCs w:val="28"/>
        </w:rPr>
        <w:t xml:space="preserve"> улучшение качества администрирования. 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Основными направлениями налоговой политики </w:t>
      </w:r>
      <w:r w:rsidR="00087B64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970735" w:rsidRPr="0097073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Республики Мордовия в трехлетней перспективе являются: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совершенствование налогового законодательства на уровне республики с учетом изменений в налоговом законодательстве Российской Федерации;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оказание содействия среднему и малому бизнесу для развития предпринимательской деятельности;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обеспечение бюджетной, экономической и социальной эффективности налоговых расходов;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усиление мер по укреплению налоговой дисциплины налогоплательщиков;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расширения налоговой базы по имущественным налогам путем выявления и включения в налогооблагаемую базу недвижимого имущества и земельных участков, которые до настоящего времени не зарегистрированы.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При формировании основных направлений налоговой политики </w:t>
      </w:r>
      <w:r w:rsidR="00087B64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970735" w:rsidRPr="0097073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учтены внесенные изменения в республиканское и федеральное налоговое законодательство, которые были приняты для создания стабильных условий осуществления деятельности налогоплательщиков в период сложной экономической ситуации, связанной с введением санкций в отношении Российской Федерации.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1. Изменения, внесенные на федеральном уровне: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1) освобождение от уплаты налога на прибыль сельских домов и дворцов культуры, клубов, учредителями которых являются муниципальные образования;</w:t>
      </w:r>
    </w:p>
    <w:p w:rsidR="00750397" w:rsidRPr="003269F8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9F8">
        <w:rPr>
          <w:rFonts w:ascii="Times New Roman" w:hAnsi="Times New Roman" w:cs="Times New Roman"/>
          <w:sz w:val="28"/>
          <w:szCs w:val="28"/>
        </w:rPr>
        <w:t>2) освобождение от уплаты налога на доходы физических лиц с доходов по вкладам (остатков на счетах) банков, полученных в 2021 и 2022 годах, а также материальной выгоды, полученной в 2022 и 2023 годах от экономии на процентах за пользование заемными (кредитными) средствами;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3) расчет налога на имущество и земельного налога за налоговый период 2023 года исходя из кадастровой стоимости по состоянию на 1 января 2022 года;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4) переход с 1 января 2023 г. на новый механизм уплаты налогов «единый налоговый счет». Суть механизма заключается в формировании единого сальдо расчетов между налогоплательщиком и государством. Предусмотрены единые сроки сдачи отчетности и уплаты налога. Предполагается, что данный подход исключит наличие у налогоплательщиков одновременно задолженности и переплаты по разным видам налогов. Новый способ расчета с государством коснется практически всех налогов, за исключением налога на доходы физических лиц для иностранцев, налога на профессиональный доход, государственной пошлины, сборов за пользование объектами животного мира и за пользование объектами водных биологических ресурсов;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lastRenderedPageBreak/>
        <w:t>5) продление до 1 января 2025 г. действия налоговых каникул в виде налоговой ставки в размере 0 процентов для физических лиц, впервые зарегистрированных в качестве индивидуальных предпринимателей, перешедших в течение двух лет со дня регистрации на упрощенную или патентную систему налогообложения;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6) увеличение с 1 января 2025 г. норматива зачисления акцизов на нефтепродукты в бюджеты субъектов Российской Федерации с 74,9 процента до 100 процентов.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2. В 2022 году для поддержки экономики наряду с федеральными мерами внесены изменения на региональном уровне.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50397">
        <w:rPr>
          <w:rFonts w:ascii="Times New Roman" w:hAnsi="Times New Roman" w:cs="Times New Roman"/>
          <w:sz w:val="28"/>
          <w:szCs w:val="28"/>
        </w:rPr>
        <w:t>В целях недопущения сокращения хозяйственной деятельности субъектов предпринимательской деятельности в условиях санкционного давления со стороны зарубежных государств, в том числе малого и среднего бизнеса максимально расширен перечень видов предпринимательской деятельности в производственной, социальной, научной сферах, а также в сфере бытовых услуг населению, в отношении которых в Республике Мордовия устанавливается налоговая ставка в размере 0 процентов, для впервые зарегистрированных налогоплательщиков в</w:t>
      </w:r>
      <w:proofErr w:type="gramEnd"/>
      <w:r w:rsidRPr="00750397">
        <w:rPr>
          <w:rFonts w:ascii="Times New Roman" w:hAnsi="Times New Roman" w:cs="Times New Roman"/>
          <w:sz w:val="28"/>
          <w:szCs w:val="28"/>
        </w:rPr>
        <w:t xml:space="preserve"> течение двух налоговых периодов со дня их регистрации. При этом применение льготы для вновь предусмотренных видов деятельности распространяется в отношении индивидуальных предпринимателей, осуществляющих данные виды деятельности, и зарегистрированных в период с 1 января по 31 декабря                  2022 г. включительно.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50397">
        <w:rPr>
          <w:rFonts w:ascii="Times New Roman" w:hAnsi="Times New Roman" w:cs="Times New Roman"/>
          <w:sz w:val="28"/>
          <w:szCs w:val="28"/>
        </w:rPr>
        <w:t>В целях увеличения налогового потенциала республики и муниципальных образований за счет привлечения организаций и индивидуальных предпринимателей, впервые зарегистрированных на территории Республики Мордовия в связи с переменой ими места нахождения (места жительства), предусмотрено продление срока действия минимальных налоговых ставок по упрощенной системе налогообложения (5 процентов – если объектом налогообложения являются доходы, уменьшенные на величину расходов, и 1 процент – если объектом налогообложения являются</w:t>
      </w:r>
      <w:proofErr w:type="gramEnd"/>
      <w:r w:rsidRPr="00750397">
        <w:rPr>
          <w:rFonts w:ascii="Times New Roman" w:hAnsi="Times New Roman" w:cs="Times New Roman"/>
          <w:sz w:val="28"/>
          <w:szCs w:val="28"/>
        </w:rPr>
        <w:t xml:space="preserve"> доходы) для указанной категории налогоплательщиков до 2024 года включительно. Кроме того, отменена основная часть условий предоставления налоговой льготы для налогоплательщиков – «мигрантов» (условия по уровню заработной платы и численности работников), условие по отсутствию недоимки по налогам в консолидированный бюджет Республики Мордовия и страховым взносам сохранено.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Налоговая политика района ориентирована на создание благоприятного режима налогообложения не только для субъектов предпринимательской деятельности и отраслей экономики, но и для отдельных категорий населения, нуждающихся в государственной поддержке.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3. Главной целью реализации налоговой политики </w:t>
      </w:r>
      <w:r w:rsidR="00087B64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970735" w:rsidRPr="0097073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 является, с одной стороны, сохранение условий для постоянного роста экономики района, поддержка предпринимательской активности, с другой стороны, сохранение </w:t>
      </w:r>
      <w:r w:rsidRPr="00750397">
        <w:rPr>
          <w:rFonts w:ascii="Times New Roman" w:hAnsi="Times New Roman" w:cs="Times New Roman"/>
          <w:sz w:val="28"/>
          <w:szCs w:val="28"/>
        </w:rPr>
        <w:lastRenderedPageBreak/>
        <w:t xml:space="preserve">бюджетной устойчивости, получение необходимого объема доходов </w:t>
      </w:r>
      <w:r w:rsidR="002D126A">
        <w:rPr>
          <w:rFonts w:ascii="Times New Roman" w:hAnsi="Times New Roman" w:cs="Times New Roman"/>
          <w:sz w:val="28"/>
          <w:szCs w:val="28"/>
        </w:rPr>
        <w:t xml:space="preserve">местного </w:t>
      </w:r>
      <w:r w:rsidRPr="00750397">
        <w:rPr>
          <w:rFonts w:ascii="Times New Roman" w:hAnsi="Times New Roman" w:cs="Times New Roman"/>
          <w:sz w:val="28"/>
          <w:szCs w:val="28"/>
        </w:rPr>
        <w:t xml:space="preserve"> бюджета и обеспечение сбалансированности бюджета.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50397">
        <w:rPr>
          <w:rFonts w:ascii="Times New Roman" w:hAnsi="Times New Roman" w:cs="Times New Roman"/>
          <w:sz w:val="28"/>
          <w:szCs w:val="28"/>
        </w:rPr>
        <w:t xml:space="preserve">Для достижения поставленных целей в среднесрочной перспективе будет продолжена работа по совершенствованию механизмов взаимодействия органов местного самоуправления и территориальных органов федеральных органов исполнительной власти в части качественного администрирования доходных источников бюджетов и повышения уровня их собираемости, легализации налоговой базы, сокращения недоимки; организации работы с кураторами налоговых расходов </w:t>
      </w:r>
      <w:r w:rsidR="00087B64">
        <w:rPr>
          <w:rFonts w:ascii="Times New Roman" w:hAnsi="Times New Roman" w:cs="Times New Roman"/>
          <w:sz w:val="28"/>
          <w:szCs w:val="28"/>
        </w:rPr>
        <w:t>Пурдошанского</w:t>
      </w:r>
      <w:r w:rsidR="00970735" w:rsidRPr="0097073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Мордовия.</w:t>
      </w:r>
      <w:proofErr w:type="gramEnd"/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Координация работы органов местного самоуправления по мобилизации доходов в </w:t>
      </w:r>
      <w:r w:rsidR="002D126A">
        <w:rPr>
          <w:rFonts w:ascii="Times New Roman" w:hAnsi="Times New Roman" w:cs="Times New Roman"/>
          <w:sz w:val="28"/>
          <w:szCs w:val="28"/>
        </w:rPr>
        <w:t xml:space="preserve">местный </w:t>
      </w:r>
      <w:r w:rsidRPr="00750397">
        <w:rPr>
          <w:rFonts w:ascii="Times New Roman" w:hAnsi="Times New Roman" w:cs="Times New Roman"/>
          <w:sz w:val="28"/>
          <w:szCs w:val="28"/>
        </w:rPr>
        <w:t xml:space="preserve"> бюджет будет осуществляться в рамках работы деятельности межведомственной рабочей группы </w:t>
      </w:r>
      <w:r w:rsidR="00087B64">
        <w:rPr>
          <w:rFonts w:ascii="Times New Roman" w:hAnsi="Times New Roman" w:cs="Times New Roman"/>
          <w:sz w:val="28"/>
          <w:szCs w:val="28"/>
        </w:rPr>
        <w:t>Пурдошанского</w:t>
      </w:r>
      <w:r w:rsidR="00970735" w:rsidRPr="0097073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Мордовия.</w:t>
      </w:r>
    </w:p>
    <w:p w:rsidR="00750397" w:rsidRPr="00750397" w:rsidRDefault="00750397" w:rsidP="006462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Налоговая политика </w:t>
      </w:r>
      <w:r w:rsidR="00087B64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970735" w:rsidRPr="0097073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 на 2023 – 2025 годы должна сохранить устойчивость бюджетной системы </w:t>
      </w:r>
      <w:r w:rsidR="002D126A">
        <w:rPr>
          <w:rFonts w:ascii="Times New Roman" w:hAnsi="Times New Roman" w:cs="Times New Roman"/>
          <w:sz w:val="28"/>
          <w:szCs w:val="28"/>
        </w:rPr>
        <w:t>села</w:t>
      </w:r>
      <w:r w:rsidRPr="00750397">
        <w:rPr>
          <w:rFonts w:ascii="Times New Roman" w:hAnsi="Times New Roman" w:cs="Times New Roman"/>
          <w:sz w:val="28"/>
          <w:szCs w:val="28"/>
        </w:rPr>
        <w:t xml:space="preserve"> при привлечении всех возможных источников и инструментов финансового обеспечения задач, поставленных Правительством Республики Мордовия и органом местного самоуправления </w:t>
      </w:r>
      <w:r w:rsidR="00087B64">
        <w:rPr>
          <w:rFonts w:ascii="Times New Roman" w:hAnsi="Times New Roman" w:cs="Times New Roman"/>
          <w:sz w:val="28"/>
          <w:szCs w:val="28"/>
        </w:rPr>
        <w:t>Пурдошанского</w:t>
      </w:r>
      <w:r w:rsidR="00970735" w:rsidRPr="0097073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района.</w:t>
      </w:r>
    </w:p>
    <w:p w:rsidR="00750397" w:rsidRPr="00750397" w:rsidRDefault="00750397" w:rsidP="006462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0397" w:rsidRPr="00750397" w:rsidRDefault="00750397" w:rsidP="006462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</w:p>
    <w:sectPr w:rsidR="00750397" w:rsidRPr="00750397" w:rsidSect="00583179">
      <w:head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0F6A" w:rsidRDefault="00550F6A" w:rsidP="00384F63">
      <w:pPr>
        <w:spacing w:after="0" w:line="240" w:lineRule="auto"/>
      </w:pPr>
      <w:r>
        <w:separator/>
      </w:r>
    </w:p>
  </w:endnote>
  <w:endnote w:type="continuationSeparator" w:id="0">
    <w:p w:rsidR="00550F6A" w:rsidRDefault="00550F6A" w:rsidP="00384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0F6A" w:rsidRDefault="00550F6A" w:rsidP="00384F63">
      <w:pPr>
        <w:spacing w:after="0" w:line="240" w:lineRule="auto"/>
      </w:pPr>
      <w:r>
        <w:separator/>
      </w:r>
    </w:p>
  </w:footnote>
  <w:footnote w:type="continuationSeparator" w:id="0">
    <w:p w:rsidR="00550F6A" w:rsidRDefault="00550F6A" w:rsidP="00384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018783"/>
    </w:sdtPr>
    <w:sdtEndPr/>
    <w:sdtContent>
      <w:p w:rsidR="00384F63" w:rsidRDefault="00911FAC">
        <w:pPr>
          <w:pStyle w:val="a7"/>
          <w:jc w:val="center"/>
        </w:pPr>
        <w:r>
          <w:fldChar w:fldCharType="begin"/>
        </w:r>
        <w:r w:rsidR="008E2FDF">
          <w:instrText xml:space="preserve"> PAGE   \* MERGEFORMAT </w:instrText>
        </w:r>
        <w:r>
          <w:fldChar w:fldCharType="separate"/>
        </w:r>
        <w:r w:rsidR="002D126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84F63" w:rsidRDefault="00384F6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24164"/>
    <w:multiLevelType w:val="hybridMultilevel"/>
    <w:tmpl w:val="67E40538"/>
    <w:lvl w:ilvl="0" w:tplc="082CD1C8">
      <w:start w:val="2"/>
      <w:numFmt w:val="decimal"/>
      <w:lvlText w:val="%1."/>
      <w:lvlJc w:val="left"/>
      <w:pPr>
        <w:ind w:left="3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10" w:hanging="360"/>
      </w:pPr>
    </w:lvl>
    <w:lvl w:ilvl="2" w:tplc="0419001B" w:tentative="1">
      <w:start w:val="1"/>
      <w:numFmt w:val="lowerRoman"/>
      <w:lvlText w:val="%3."/>
      <w:lvlJc w:val="right"/>
      <w:pPr>
        <w:ind w:left="5130" w:hanging="180"/>
      </w:pPr>
    </w:lvl>
    <w:lvl w:ilvl="3" w:tplc="0419000F" w:tentative="1">
      <w:start w:val="1"/>
      <w:numFmt w:val="decimal"/>
      <w:lvlText w:val="%4."/>
      <w:lvlJc w:val="left"/>
      <w:pPr>
        <w:ind w:left="5850" w:hanging="360"/>
      </w:pPr>
    </w:lvl>
    <w:lvl w:ilvl="4" w:tplc="04190019" w:tentative="1">
      <w:start w:val="1"/>
      <w:numFmt w:val="lowerLetter"/>
      <w:lvlText w:val="%5."/>
      <w:lvlJc w:val="left"/>
      <w:pPr>
        <w:ind w:left="6570" w:hanging="360"/>
      </w:pPr>
    </w:lvl>
    <w:lvl w:ilvl="5" w:tplc="0419001B" w:tentative="1">
      <w:start w:val="1"/>
      <w:numFmt w:val="lowerRoman"/>
      <w:lvlText w:val="%6."/>
      <w:lvlJc w:val="right"/>
      <w:pPr>
        <w:ind w:left="7290" w:hanging="180"/>
      </w:pPr>
    </w:lvl>
    <w:lvl w:ilvl="6" w:tplc="0419000F" w:tentative="1">
      <w:start w:val="1"/>
      <w:numFmt w:val="decimal"/>
      <w:lvlText w:val="%7."/>
      <w:lvlJc w:val="left"/>
      <w:pPr>
        <w:ind w:left="8010" w:hanging="360"/>
      </w:pPr>
    </w:lvl>
    <w:lvl w:ilvl="7" w:tplc="04190019" w:tentative="1">
      <w:start w:val="1"/>
      <w:numFmt w:val="lowerLetter"/>
      <w:lvlText w:val="%8."/>
      <w:lvlJc w:val="left"/>
      <w:pPr>
        <w:ind w:left="8730" w:hanging="360"/>
      </w:pPr>
    </w:lvl>
    <w:lvl w:ilvl="8" w:tplc="0419001B" w:tentative="1">
      <w:start w:val="1"/>
      <w:numFmt w:val="lowerRoman"/>
      <w:lvlText w:val="%9."/>
      <w:lvlJc w:val="right"/>
      <w:pPr>
        <w:ind w:left="9450" w:hanging="180"/>
      </w:pPr>
    </w:lvl>
  </w:abstractNum>
  <w:abstractNum w:abstractNumId="1">
    <w:nsid w:val="331D103F"/>
    <w:multiLevelType w:val="hybridMultilevel"/>
    <w:tmpl w:val="6414B700"/>
    <w:lvl w:ilvl="0" w:tplc="827A212C">
      <w:start w:val="4"/>
      <w:numFmt w:val="decimal"/>
      <w:lvlText w:val="%1."/>
      <w:lvlJc w:val="left"/>
      <w:pPr>
        <w:ind w:left="1080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D84094D"/>
    <w:multiLevelType w:val="hybridMultilevel"/>
    <w:tmpl w:val="1E94569E"/>
    <w:lvl w:ilvl="0" w:tplc="13AE561E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3">
    <w:nsid w:val="4DAF7653"/>
    <w:multiLevelType w:val="hybridMultilevel"/>
    <w:tmpl w:val="3FDC3354"/>
    <w:lvl w:ilvl="0" w:tplc="8760067C">
      <w:start w:val="4"/>
      <w:numFmt w:val="decimal"/>
      <w:lvlText w:val="%1."/>
      <w:lvlJc w:val="left"/>
      <w:pPr>
        <w:ind w:left="404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4770" w:hanging="360"/>
      </w:pPr>
    </w:lvl>
    <w:lvl w:ilvl="2" w:tplc="0419001B" w:tentative="1">
      <w:start w:val="1"/>
      <w:numFmt w:val="lowerRoman"/>
      <w:lvlText w:val="%3."/>
      <w:lvlJc w:val="right"/>
      <w:pPr>
        <w:ind w:left="5490" w:hanging="180"/>
      </w:pPr>
    </w:lvl>
    <w:lvl w:ilvl="3" w:tplc="0419000F" w:tentative="1">
      <w:start w:val="1"/>
      <w:numFmt w:val="decimal"/>
      <w:lvlText w:val="%4."/>
      <w:lvlJc w:val="left"/>
      <w:pPr>
        <w:ind w:left="6210" w:hanging="360"/>
      </w:pPr>
    </w:lvl>
    <w:lvl w:ilvl="4" w:tplc="04190019" w:tentative="1">
      <w:start w:val="1"/>
      <w:numFmt w:val="lowerLetter"/>
      <w:lvlText w:val="%5."/>
      <w:lvlJc w:val="left"/>
      <w:pPr>
        <w:ind w:left="6930" w:hanging="360"/>
      </w:pPr>
    </w:lvl>
    <w:lvl w:ilvl="5" w:tplc="0419001B" w:tentative="1">
      <w:start w:val="1"/>
      <w:numFmt w:val="lowerRoman"/>
      <w:lvlText w:val="%6."/>
      <w:lvlJc w:val="right"/>
      <w:pPr>
        <w:ind w:left="7650" w:hanging="180"/>
      </w:pPr>
    </w:lvl>
    <w:lvl w:ilvl="6" w:tplc="0419000F" w:tentative="1">
      <w:start w:val="1"/>
      <w:numFmt w:val="decimal"/>
      <w:lvlText w:val="%7."/>
      <w:lvlJc w:val="left"/>
      <w:pPr>
        <w:ind w:left="8370" w:hanging="360"/>
      </w:pPr>
    </w:lvl>
    <w:lvl w:ilvl="7" w:tplc="04190019" w:tentative="1">
      <w:start w:val="1"/>
      <w:numFmt w:val="lowerLetter"/>
      <w:lvlText w:val="%8."/>
      <w:lvlJc w:val="left"/>
      <w:pPr>
        <w:ind w:left="9090" w:hanging="360"/>
      </w:pPr>
    </w:lvl>
    <w:lvl w:ilvl="8" w:tplc="0419001B" w:tentative="1">
      <w:start w:val="1"/>
      <w:numFmt w:val="lowerRoman"/>
      <w:lvlText w:val="%9."/>
      <w:lvlJc w:val="right"/>
      <w:pPr>
        <w:ind w:left="9810" w:hanging="180"/>
      </w:pPr>
    </w:lvl>
  </w:abstractNum>
  <w:abstractNum w:abstractNumId="4">
    <w:nsid w:val="595B45D7"/>
    <w:multiLevelType w:val="singleLevel"/>
    <w:tmpl w:val="86FCFC6C"/>
    <w:lvl w:ilvl="0">
      <w:start w:val="1"/>
      <w:numFmt w:val="decimal"/>
      <w:lvlText w:val="%1."/>
      <w:legacy w:legacy="1" w:legacySpace="0" w:legacyIndent="576"/>
      <w:lvlJc w:val="left"/>
      <w:rPr>
        <w:rFonts w:ascii="Times New Roman" w:eastAsiaTheme="minorEastAsia" w:hAnsi="Times New Roman" w:cs="Times New Roman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B2157"/>
    <w:rsid w:val="000144CA"/>
    <w:rsid w:val="00025990"/>
    <w:rsid w:val="00033F26"/>
    <w:rsid w:val="00035FD8"/>
    <w:rsid w:val="00051CC3"/>
    <w:rsid w:val="00061EBF"/>
    <w:rsid w:val="00077B15"/>
    <w:rsid w:val="000849C8"/>
    <w:rsid w:val="00086FB9"/>
    <w:rsid w:val="00087B64"/>
    <w:rsid w:val="000A0C57"/>
    <w:rsid w:val="000B26FE"/>
    <w:rsid w:val="000E1ABC"/>
    <w:rsid w:val="00105770"/>
    <w:rsid w:val="0013291F"/>
    <w:rsid w:val="001330B8"/>
    <w:rsid w:val="001621CC"/>
    <w:rsid w:val="00180CEA"/>
    <w:rsid w:val="00186DFA"/>
    <w:rsid w:val="001940FE"/>
    <w:rsid w:val="001A01FD"/>
    <w:rsid w:val="001A549F"/>
    <w:rsid w:val="001B356B"/>
    <w:rsid w:val="001C6F42"/>
    <w:rsid w:val="001E5426"/>
    <w:rsid w:val="001E6D5F"/>
    <w:rsid w:val="002A3F0B"/>
    <w:rsid w:val="002A6566"/>
    <w:rsid w:val="002B071A"/>
    <w:rsid w:val="002D126A"/>
    <w:rsid w:val="002F3306"/>
    <w:rsid w:val="002F78B6"/>
    <w:rsid w:val="003269F8"/>
    <w:rsid w:val="00354216"/>
    <w:rsid w:val="00370F96"/>
    <w:rsid w:val="0038025E"/>
    <w:rsid w:val="00384F63"/>
    <w:rsid w:val="00387786"/>
    <w:rsid w:val="003A150C"/>
    <w:rsid w:val="003B1858"/>
    <w:rsid w:val="003B3EC8"/>
    <w:rsid w:val="003D5B32"/>
    <w:rsid w:val="00416C8E"/>
    <w:rsid w:val="00423644"/>
    <w:rsid w:val="00430774"/>
    <w:rsid w:val="00443691"/>
    <w:rsid w:val="00473929"/>
    <w:rsid w:val="00476BF3"/>
    <w:rsid w:val="00495EF6"/>
    <w:rsid w:val="004A5D68"/>
    <w:rsid w:val="004C1DDC"/>
    <w:rsid w:val="004C6990"/>
    <w:rsid w:val="004C750A"/>
    <w:rsid w:val="004E6AA6"/>
    <w:rsid w:val="00505845"/>
    <w:rsid w:val="00507F48"/>
    <w:rsid w:val="005244B1"/>
    <w:rsid w:val="005333DE"/>
    <w:rsid w:val="00535270"/>
    <w:rsid w:val="00545F68"/>
    <w:rsid w:val="00547A38"/>
    <w:rsid w:val="00550F6A"/>
    <w:rsid w:val="00554F3D"/>
    <w:rsid w:val="005624E7"/>
    <w:rsid w:val="0056683E"/>
    <w:rsid w:val="00572824"/>
    <w:rsid w:val="00583179"/>
    <w:rsid w:val="005861AB"/>
    <w:rsid w:val="00591CBC"/>
    <w:rsid w:val="005A584A"/>
    <w:rsid w:val="005B004E"/>
    <w:rsid w:val="005F1DDC"/>
    <w:rsid w:val="005F726A"/>
    <w:rsid w:val="006178B4"/>
    <w:rsid w:val="006417AF"/>
    <w:rsid w:val="00642A79"/>
    <w:rsid w:val="006462DA"/>
    <w:rsid w:val="006C54F1"/>
    <w:rsid w:val="006D29F6"/>
    <w:rsid w:val="007260E3"/>
    <w:rsid w:val="00750397"/>
    <w:rsid w:val="0077675C"/>
    <w:rsid w:val="0078216A"/>
    <w:rsid w:val="007977EB"/>
    <w:rsid w:val="007A60DF"/>
    <w:rsid w:val="007D53C0"/>
    <w:rsid w:val="00817269"/>
    <w:rsid w:val="00842E45"/>
    <w:rsid w:val="008436CD"/>
    <w:rsid w:val="00857E6F"/>
    <w:rsid w:val="00896846"/>
    <w:rsid w:val="008A2E23"/>
    <w:rsid w:val="008B4AEB"/>
    <w:rsid w:val="008E2FDF"/>
    <w:rsid w:val="008F3567"/>
    <w:rsid w:val="008F72EB"/>
    <w:rsid w:val="009032C9"/>
    <w:rsid w:val="00911FAC"/>
    <w:rsid w:val="00966D73"/>
    <w:rsid w:val="00970735"/>
    <w:rsid w:val="00997BF3"/>
    <w:rsid w:val="00997FEE"/>
    <w:rsid w:val="009A2C90"/>
    <w:rsid w:val="009A47C4"/>
    <w:rsid w:val="009C35E8"/>
    <w:rsid w:val="009C564A"/>
    <w:rsid w:val="009D004B"/>
    <w:rsid w:val="009D26AA"/>
    <w:rsid w:val="009E775E"/>
    <w:rsid w:val="00A16B86"/>
    <w:rsid w:val="00A36264"/>
    <w:rsid w:val="00A8128D"/>
    <w:rsid w:val="00A91757"/>
    <w:rsid w:val="00AE0E11"/>
    <w:rsid w:val="00AE3C66"/>
    <w:rsid w:val="00AF0C1D"/>
    <w:rsid w:val="00B24D46"/>
    <w:rsid w:val="00B25C75"/>
    <w:rsid w:val="00B465BA"/>
    <w:rsid w:val="00B771FC"/>
    <w:rsid w:val="00B803EB"/>
    <w:rsid w:val="00BA6F9E"/>
    <w:rsid w:val="00BC5037"/>
    <w:rsid w:val="00BE228B"/>
    <w:rsid w:val="00BE562D"/>
    <w:rsid w:val="00BE6F90"/>
    <w:rsid w:val="00C01894"/>
    <w:rsid w:val="00C147EB"/>
    <w:rsid w:val="00C31575"/>
    <w:rsid w:val="00C46E5B"/>
    <w:rsid w:val="00C82D76"/>
    <w:rsid w:val="00CB0BC9"/>
    <w:rsid w:val="00CB1E35"/>
    <w:rsid w:val="00CB47A8"/>
    <w:rsid w:val="00CC628A"/>
    <w:rsid w:val="00CF7C08"/>
    <w:rsid w:val="00D01346"/>
    <w:rsid w:val="00D20D23"/>
    <w:rsid w:val="00D304CB"/>
    <w:rsid w:val="00D468D3"/>
    <w:rsid w:val="00D5239E"/>
    <w:rsid w:val="00D65B5E"/>
    <w:rsid w:val="00D7420E"/>
    <w:rsid w:val="00D816CF"/>
    <w:rsid w:val="00D8313E"/>
    <w:rsid w:val="00D85795"/>
    <w:rsid w:val="00D865C4"/>
    <w:rsid w:val="00DB6E00"/>
    <w:rsid w:val="00DC1E81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34C5"/>
    <w:rsid w:val="00EB5643"/>
    <w:rsid w:val="00EC02D2"/>
    <w:rsid w:val="00EE0A3F"/>
    <w:rsid w:val="00F11D47"/>
    <w:rsid w:val="00F24D61"/>
    <w:rsid w:val="00F34B87"/>
    <w:rsid w:val="00F402DD"/>
    <w:rsid w:val="00F547B9"/>
    <w:rsid w:val="00F62A12"/>
    <w:rsid w:val="00F82A4E"/>
    <w:rsid w:val="00FB0417"/>
    <w:rsid w:val="00FB4565"/>
    <w:rsid w:val="00FC53AC"/>
    <w:rsid w:val="00FD0C5D"/>
    <w:rsid w:val="00FD713B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20E"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  <w:style w:type="paragraph" w:styleId="ab">
    <w:name w:val="Balloon Text"/>
    <w:basedOn w:val="a"/>
    <w:link w:val="ac"/>
    <w:uiPriority w:val="99"/>
    <w:semiHidden/>
    <w:unhideWhenUsed/>
    <w:rsid w:val="004C1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DDC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DC1E81"/>
    <w:pPr>
      <w:ind w:left="720"/>
      <w:contextualSpacing/>
    </w:pPr>
  </w:style>
  <w:style w:type="paragraph" w:styleId="ae">
    <w:name w:val="Body Text"/>
    <w:basedOn w:val="a"/>
    <w:link w:val="af"/>
    <w:rsid w:val="00CC628A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Знак"/>
    <w:basedOn w:val="a0"/>
    <w:link w:val="ae"/>
    <w:rsid w:val="00CC628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CC62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f0">
    <w:name w:val="footnote text"/>
    <w:basedOn w:val="a"/>
    <w:link w:val="af1"/>
    <w:uiPriority w:val="99"/>
    <w:rsid w:val="00A16B8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A16B86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footnote reference"/>
    <w:basedOn w:val="a0"/>
    <w:rsid w:val="00A16B86"/>
    <w:rPr>
      <w:vertAlign w:val="superscript"/>
    </w:rPr>
  </w:style>
  <w:style w:type="paragraph" w:customStyle="1" w:styleId="ConsPlusTitle">
    <w:name w:val="ConsPlusTitle"/>
    <w:rsid w:val="00F11D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af3">
    <w:name w:val="Гипертекстовая ссылка"/>
    <w:uiPriority w:val="99"/>
    <w:rsid w:val="00C147EB"/>
    <w:rPr>
      <w:rFonts w:cs="Times New Roman"/>
      <w:color w:val="106BBE"/>
    </w:rPr>
  </w:style>
  <w:style w:type="paragraph" w:customStyle="1" w:styleId="af4">
    <w:name w:val="Знак"/>
    <w:basedOn w:val="a"/>
    <w:rsid w:val="00C147E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5">
    <w:name w:val="Цветовое выделение"/>
    <w:uiPriority w:val="99"/>
    <w:rsid w:val="00750397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  <w:style w:type="paragraph" w:styleId="ab">
    <w:name w:val="Balloon Text"/>
    <w:basedOn w:val="a"/>
    <w:link w:val="ac"/>
    <w:uiPriority w:val="99"/>
    <w:semiHidden/>
    <w:unhideWhenUsed/>
    <w:rsid w:val="004C1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DDC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DC1E81"/>
    <w:pPr>
      <w:ind w:left="720"/>
      <w:contextualSpacing/>
    </w:pPr>
  </w:style>
  <w:style w:type="paragraph" w:styleId="ae">
    <w:name w:val="Body Text"/>
    <w:basedOn w:val="a"/>
    <w:link w:val="af"/>
    <w:rsid w:val="00CC628A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Знак"/>
    <w:basedOn w:val="a0"/>
    <w:link w:val="ae"/>
    <w:rsid w:val="00CC628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CC62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f0">
    <w:name w:val="footnote text"/>
    <w:basedOn w:val="a"/>
    <w:link w:val="af1"/>
    <w:uiPriority w:val="99"/>
    <w:rsid w:val="00A16B8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A16B86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footnote reference"/>
    <w:basedOn w:val="a0"/>
    <w:rsid w:val="00A16B86"/>
    <w:rPr>
      <w:vertAlign w:val="superscript"/>
    </w:rPr>
  </w:style>
  <w:style w:type="paragraph" w:customStyle="1" w:styleId="ConsPlusTitle">
    <w:name w:val="ConsPlusTitle"/>
    <w:rsid w:val="00F11D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af3">
    <w:name w:val="Гипертекстовая ссылка"/>
    <w:uiPriority w:val="99"/>
    <w:rsid w:val="00C147EB"/>
    <w:rPr>
      <w:rFonts w:cs="Times New Roman"/>
      <w:color w:val="106BBE"/>
    </w:rPr>
  </w:style>
  <w:style w:type="paragraph" w:customStyle="1" w:styleId="af4">
    <w:name w:val="Знак"/>
    <w:basedOn w:val="a"/>
    <w:rsid w:val="00C147E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5">
    <w:name w:val="Цветовое выделение"/>
    <w:uiPriority w:val="99"/>
    <w:rsid w:val="00750397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400850014/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12012604.17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8</Pages>
  <Words>2740</Words>
  <Characters>15622</Characters>
  <Application>Microsoft Office Word</Application>
  <DocSecurity>0</DocSecurity>
  <Lines>130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П О С Т А Н О В Л Е Н И Е</vt:lpstr>
      <vt:lpstr>__________2022 г								   № __</vt:lpstr>
      <vt:lpstr>Об основных направлениях бюджетной и налоговой политики Старогородского сельског</vt:lpstr>
      <vt:lpstr/>
      <vt:lpstr>Основные направления бюджетной и налоговой политики Старогородского сельского по</vt:lpstr>
    </vt:vector>
  </TitlesOfParts>
  <Company/>
  <LinksUpToDate>false</LinksUpToDate>
  <CharactersWithSpaces>18326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Администрация</cp:lastModifiedBy>
  <cp:revision>12</cp:revision>
  <cp:lastPrinted>2022-02-09T13:22:00Z</cp:lastPrinted>
  <dcterms:created xsi:type="dcterms:W3CDTF">2022-11-07T11:21:00Z</dcterms:created>
  <dcterms:modified xsi:type="dcterms:W3CDTF">2022-11-15T12:20:00Z</dcterms:modified>
</cp:coreProperties>
</file>