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133618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14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4A2AEB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.2022 года № </w:t>
      </w:r>
      <w:r w:rsidR="004A2AEB">
        <w:rPr>
          <w:rFonts w:ascii="Times New Roman" w:hAnsi="Times New Roman" w:cs="Times New Roman"/>
          <w:sz w:val="28"/>
          <w:szCs w:val="28"/>
        </w:rPr>
        <w:t>8</w:t>
      </w:r>
      <w:r w:rsidR="005E7481">
        <w:rPr>
          <w:rFonts w:ascii="Times New Roman" w:hAnsi="Times New Roman" w:cs="Times New Roman"/>
          <w:sz w:val="28"/>
          <w:szCs w:val="28"/>
        </w:rPr>
        <w:t>4</w:t>
      </w:r>
    </w:p>
    <w:p w:rsidR="00735CB6" w:rsidRPr="008802AA" w:rsidRDefault="00735CB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</w:p>
    <w:p w:rsidR="00735CB6" w:rsidRPr="005E7481" w:rsidRDefault="00735CB6" w:rsidP="007B5F32">
      <w:pPr>
        <w:pStyle w:val="3"/>
        <w:shd w:val="clear" w:color="auto" w:fill="FFFFFF"/>
        <w:spacing w:before="0" w:after="0"/>
        <w:ind w:firstLine="709"/>
        <w:jc w:val="both"/>
        <w:rPr>
          <w:rFonts w:ascii="Times New Roman" w:hAnsi="Times New Roman"/>
          <w:b w:val="0"/>
          <w:bCs w:val="0"/>
          <w:color w:val="000000"/>
          <w:sz w:val="28"/>
          <w:szCs w:val="28"/>
        </w:rPr>
      </w:pPr>
    </w:p>
    <w:p w:rsidR="005E7481" w:rsidRPr="005E7481" w:rsidRDefault="005E7481" w:rsidP="005E7481">
      <w:pPr>
        <w:pStyle w:val="affff4"/>
        <w:shd w:val="clear" w:color="auto" w:fill="FFFFFF"/>
        <w:rPr>
          <w:caps/>
          <w:sz w:val="28"/>
          <w:szCs w:val="28"/>
        </w:rPr>
      </w:pPr>
      <w:r w:rsidRPr="005E7481"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5E7481" w:rsidRPr="005E7481" w:rsidRDefault="005E7481" w:rsidP="005E7481">
      <w:pPr>
        <w:pStyle w:val="affff4"/>
        <w:shd w:val="clear" w:color="auto" w:fill="FFFFFF"/>
        <w:ind w:firstLine="709"/>
        <w:rPr>
          <w:caps/>
          <w:sz w:val="28"/>
          <w:szCs w:val="28"/>
        </w:rPr>
      </w:pPr>
      <w:r w:rsidRPr="005E7481">
        <w:rPr>
          <w:caps/>
          <w:sz w:val="28"/>
          <w:szCs w:val="28"/>
        </w:rPr>
        <w:t>Республики мордовиЯ</w:t>
      </w:r>
    </w:p>
    <w:p w:rsidR="005E7481" w:rsidRPr="005E7481" w:rsidRDefault="005E7481" w:rsidP="005E748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E7481" w:rsidRPr="005E7481" w:rsidRDefault="005E7481" w:rsidP="005E7481">
      <w:pPr>
        <w:pStyle w:val="affff4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5E7481" w:rsidRPr="005E7481" w:rsidRDefault="005E7481" w:rsidP="005E7481">
      <w:pPr>
        <w:jc w:val="center"/>
        <w:rPr>
          <w:rFonts w:ascii="Times New Roman" w:hAnsi="Times New Roman" w:cs="Times New Roman"/>
          <w:b/>
          <w:sz w:val="34"/>
          <w:szCs w:val="34"/>
        </w:rPr>
      </w:pPr>
      <w:r w:rsidRPr="005E7481">
        <w:rPr>
          <w:rFonts w:ascii="Times New Roman" w:hAnsi="Times New Roman" w:cs="Times New Roman"/>
          <w:b/>
          <w:sz w:val="34"/>
          <w:szCs w:val="34"/>
        </w:rPr>
        <w:t>П О С Т А Н О В Л Е Н И Е</w:t>
      </w:r>
    </w:p>
    <w:p w:rsidR="005E7481" w:rsidRPr="005E7481" w:rsidRDefault="005E7481" w:rsidP="005E7481">
      <w:pPr>
        <w:ind w:firstLine="0"/>
        <w:jc w:val="center"/>
        <w:rPr>
          <w:rFonts w:ascii="Times New Roman" w:hAnsi="Times New Roman" w:cs="Times New Roman"/>
        </w:rPr>
      </w:pPr>
    </w:p>
    <w:p w:rsidR="005E7481" w:rsidRPr="005E7481" w:rsidRDefault="005E7481" w:rsidP="005E748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E7481">
        <w:rPr>
          <w:rFonts w:ascii="Times New Roman" w:hAnsi="Times New Roman" w:cs="Times New Roman"/>
          <w:sz w:val="28"/>
          <w:szCs w:val="28"/>
        </w:rPr>
        <w:t xml:space="preserve">14 ноября 2022 г. </w:t>
      </w:r>
      <w:r w:rsidRPr="005E7481">
        <w:rPr>
          <w:rFonts w:ascii="Times New Roman" w:hAnsi="Times New Roman" w:cs="Times New Roman"/>
          <w:sz w:val="28"/>
          <w:szCs w:val="28"/>
        </w:rPr>
        <w:tab/>
      </w:r>
      <w:r w:rsidRPr="005E7481">
        <w:rPr>
          <w:rFonts w:ascii="Times New Roman" w:hAnsi="Times New Roman" w:cs="Times New Roman"/>
          <w:sz w:val="28"/>
          <w:szCs w:val="28"/>
        </w:rPr>
        <w:tab/>
        <w:t xml:space="preserve">         </w:t>
      </w:r>
      <w:r w:rsidRPr="005E748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№ 65</w:t>
      </w:r>
    </w:p>
    <w:p w:rsidR="005E7481" w:rsidRPr="005E7481" w:rsidRDefault="005E7481" w:rsidP="005E748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 w:rsidRPr="005E7481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5E7481" w:rsidRPr="005E7481" w:rsidRDefault="005E7481" w:rsidP="005E748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7481" w:rsidRPr="005E7481" w:rsidRDefault="005E7481" w:rsidP="005E7481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5E7481" w:rsidRPr="005E7481" w:rsidRDefault="005E7481" w:rsidP="005E7481">
      <w:pPr>
        <w:widowControl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hyperlink r:id="rId8" w:history="1">
        <w:r w:rsidRPr="005E7481">
          <w:rPr>
            <w:rFonts w:ascii="Times New Roman" w:eastAsiaTheme="minorHAnsi" w:hAnsi="Times New Roman" w:cs="Times New Roman"/>
            <w:b/>
            <w:bCs/>
            <w:sz w:val="28"/>
            <w:szCs w:val="28"/>
            <w:lang w:eastAsia="en-US"/>
          </w:rPr>
          <w:t xml:space="preserve">Об основных направлениях бюджетной и налоговой политики </w:t>
        </w:r>
        <w:r w:rsidRPr="005E7481">
          <w:rPr>
            <w:rFonts w:ascii="Times New Roman" w:eastAsiaTheme="minorHAnsi" w:hAnsi="Times New Roman" w:cs="Times New Roman"/>
            <w:b/>
            <w:bCs/>
            <w:color w:val="26282F"/>
            <w:sz w:val="28"/>
            <w:szCs w:val="28"/>
            <w:lang w:eastAsia="en-US"/>
          </w:rPr>
          <w:t>Русско-Тювеевского сельского поселения</w:t>
        </w:r>
        <w:r w:rsidRPr="005E748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 xml:space="preserve"> </w:t>
        </w:r>
        <w:r w:rsidRPr="005E7481">
          <w:rPr>
            <w:rFonts w:ascii="Times New Roman" w:eastAsiaTheme="minorHAnsi" w:hAnsi="Times New Roman" w:cs="Times New Roman"/>
            <w:b/>
            <w:bCs/>
            <w:sz w:val="28"/>
            <w:szCs w:val="28"/>
            <w:lang w:eastAsia="en-US"/>
          </w:rPr>
          <w:t>Темниковского муниципального района Республики Мордовия на 2023 год и на плановый период 2024 и 2025 годов</w:t>
        </w:r>
      </w:hyperlink>
    </w:p>
    <w:p w:rsidR="005E7481" w:rsidRPr="005E7481" w:rsidRDefault="005E7481" w:rsidP="005E7481">
      <w:pPr>
        <w:widowControl/>
        <w:ind w:firstLine="0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E7481" w:rsidRPr="005E7481" w:rsidRDefault="005E7481" w:rsidP="005E7481">
      <w:pPr>
        <w:rPr>
          <w:rFonts w:ascii="Times New Roman" w:eastAsiaTheme="minorHAnsi" w:hAnsi="Times New Roman" w:cs="Times New Roman"/>
          <w:lang w:eastAsia="en-US"/>
        </w:rPr>
      </w:pP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со </w:t>
      </w:r>
      <w:hyperlink r:id="rId9" w:history="1">
        <w:r w:rsidRPr="005E7481">
          <w:rPr>
            <w:rFonts w:ascii="Times New Roman" w:eastAsiaTheme="minorHAnsi" w:hAnsi="Times New Roman" w:cs="Times New Roman"/>
            <w:sz w:val="28"/>
            <w:szCs w:val="28"/>
            <w:lang w:eastAsia="en-US"/>
          </w:rPr>
          <w:t>статьей 172</w:t>
        </w:r>
      </w:hyperlink>
      <w:r w:rsidRPr="005E748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 xml:space="preserve"> </w:t>
      </w:r>
      <w:r w:rsidRPr="005E748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Бюджетного кодекса Российской Федерации и Уставом </w:t>
      </w:r>
      <w:r w:rsidRPr="005E7481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5E7481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Темниковского муниципального района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Администрация  </w:t>
      </w:r>
      <w:r w:rsidRPr="005E7481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   п о с т а н о в л я е т: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1. Утвердить прилагаемые Основные направления бюджетной и налоговой политики </w:t>
      </w:r>
      <w:r w:rsidRPr="005E7481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 на 2023 год и на плановый период 2024 и 2025 годов.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2. Контроль за выполнением настоящего постановления возложить на исполняющего обязанности главы </w:t>
      </w:r>
      <w:r w:rsidRPr="005E7481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Темниковского муниципального района Бондарчук О.И..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3. Настоящее постановление подлежит официальному опубликованию и вступает в законную силу с 1 января 2023 года.</w:t>
      </w:r>
    </w:p>
    <w:p w:rsidR="005E7481" w:rsidRPr="005E7481" w:rsidRDefault="005E7481" w:rsidP="005E7481">
      <w:pPr>
        <w:rPr>
          <w:rFonts w:ascii="Times New Roman" w:hAnsi="Times New Roman" w:cs="Times New Roman"/>
          <w:b/>
          <w:sz w:val="28"/>
          <w:szCs w:val="28"/>
        </w:rPr>
      </w:pPr>
    </w:p>
    <w:p w:rsidR="005E7481" w:rsidRPr="005E7481" w:rsidRDefault="005E7481" w:rsidP="005E7481">
      <w:pPr>
        <w:rPr>
          <w:rFonts w:ascii="Times New Roman" w:hAnsi="Times New Roman" w:cs="Times New Roman"/>
          <w:sz w:val="28"/>
          <w:szCs w:val="28"/>
        </w:rPr>
      </w:pPr>
    </w:p>
    <w:p w:rsidR="005E7481" w:rsidRPr="005E7481" w:rsidRDefault="005E7481" w:rsidP="005E748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E7481" w:rsidRPr="005E7481" w:rsidRDefault="005E7481" w:rsidP="005E7481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5E7481" w:rsidRPr="005E7481" w:rsidRDefault="005E7481" w:rsidP="005E7481">
      <w:pPr>
        <w:ind w:firstLine="0"/>
        <w:rPr>
          <w:rFonts w:ascii="Times New Roman" w:hAnsi="Times New Roman" w:cs="Times New Roman"/>
          <w:sz w:val="28"/>
          <w:szCs w:val="28"/>
        </w:rPr>
      </w:pPr>
      <w:r w:rsidRPr="005E7481">
        <w:rPr>
          <w:rFonts w:ascii="Times New Roman" w:hAnsi="Times New Roman" w:cs="Times New Roman"/>
          <w:sz w:val="28"/>
          <w:szCs w:val="28"/>
        </w:rPr>
        <w:t>И.о.главы Русско-Тювеевского</w:t>
      </w:r>
    </w:p>
    <w:p w:rsidR="005E7481" w:rsidRPr="005E7481" w:rsidRDefault="005E7481" w:rsidP="005E7481">
      <w:pPr>
        <w:ind w:firstLine="0"/>
        <w:rPr>
          <w:rFonts w:ascii="Times New Roman" w:hAnsi="Times New Roman" w:cs="Times New Roman"/>
        </w:rPr>
      </w:pPr>
      <w:r w:rsidRPr="005E7481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                                О.И. Бондарчук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lastRenderedPageBreak/>
        <w:t>Приложение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УТВЕРЖДЕНО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постановлением администрации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bCs/>
          <w:color w:val="26282F"/>
          <w:sz w:val="28"/>
          <w:szCs w:val="28"/>
          <w:lang w:eastAsia="en-US"/>
        </w:rPr>
        <w:t>Русско-Тювеевского сельского поселения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Темниковского муниципального района</w:t>
      </w:r>
    </w:p>
    <w:p w:rsidR="005E7481" w:rsidRPr="005E7481" w:rsidRDefault="005E7481" w:rsidP="005E7481">
      <w:pPr>
        <w:jc w:val="right"/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color w:val="26282F"/>
          <w:sz w:val="28"/>
          <w:szCs w:val="28"/>
          <w:lang w:eastAsia="en-US"/>
        </w:rPr>
        <w:t>от «14» ноября 2022 г. 65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lang w:eastAsia="en-US"/>
        </w:rPr>
      </w:pPr>
    </w:p>
    <w:p w:rsidR="005E7481" w:rsidRPr="005E7481" w:rsidRDefault="005E7481" w:rsidP="005E7481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lang w:eastAsia="en-US"/>
        </w:rPr>
      </w:pPr>
    </w:p>
    <w:p w:rsidR="005E7481" w:rsidRPr="005E7481" w:rsidRDefault="005E7481" w:rsidP="005E7481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Основные направления</w:t>
      </w:r>
      <w:r w:rsidRPr="005E7481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  <w:t>бюджетной и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  <w:r w:rsidRPr="005E7481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br/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lang w:eastAsia="en-US"/>
        </w:rPr>
      </w:pP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Основные направления бюджетной и налоговой политики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 год и на плановый период 2024 и 2025 годов разработаны в соответствии со статьей 172 Бюджетного кодекса Российской Федерации с учетом итогов реализации бюджетной и налоговой политики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в предшествующий период. 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Целью Основных направлений бюджетной и налоговой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является определение условий, используемых при составлении проекта районного бюджета Русско-Тювеевского сельского поселения Темниковского муниципального района Республики Мордовия на 2023 год и на плановый период 2024 и 2025 годов, подходов к его формированию, основных характеристик и прогнозируемых параметров местного бюджета Русско-Тювеевского сельского поселения Темниковского муниципального района Республики Мордовия на 2023 – 2025</w:t>
      </w:r>
    </w:p>
    <w:p w:rsidR="005E7481" w:rsidRPr="005E7481" w:rsidRDefault="005E7481" w:rsidP="005E7481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</w:p>
    <w:p w:rsidR="005E7481" w:rsidRPr="005E7481" w:rsidRDefault="005E7481" w:rsidP="005E7481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Основные направления бюджетной политики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b/>
          <w:bCs/>
          <w:color w:val="26282F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Основные направления бюджетной политики Русско-Тювеевского сельского поселения Темниковского муниципального района Республики Мордовия на 2023 год и на плановый период 2024 и 2025 годов предусматривают дальнейшую реализацию мер по обеспечению устойчивости и сбалансированности бюджетной системы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района, стратегической приоритезации расходов бюджета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Русско-Тювеевского сельского поселения Темниковского муниципального района Республики Мордовия (далее – районный бюджет), повышению обоснованности и эффективности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бюджетных расходов.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Исходя из поставленной цели и учитывая нестабильную экономическую ситуацию, связанную с внешними санкциями, а также с сохраняющейся непредсказуемостью ситуации с распространением короновирусной инфекции, бюджетная политика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будет направлена на решение следующих задач: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1) формирование реалистичного прогноза поступления доходов в местный бюджет;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2) определение четких приоритетов использования бюджетных средств с учетом текущей экономической ситуации: при планировании бюджетных ассигнований подлежит детальной оценке содержание муниципальных программ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Мордовия, соразмерение объемов их финансового обеспечения с реальными возможностями местного бюджета. Принятие новых расходных обязательств с учетом их эффективности и возможных сроков и механизмов реализации исключительно при наличии дополнительных доходов местного бюджета для их гарантированного исполнения в целях снижения риска неисполнения (либо исполнения в неполном объеме) действующих расходных обязательств, а также недопущение установления расходных обязательств, не связанных с решением вопросов, отнесенных Конституцией Российской Федерации и федеральными законами к полномочиям органов муниципальной власти субъектов Российской Федерации;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3) концентрация финансовых ресурсов на достижении целей, показателей и результатов региональных проектов, направленных на достижение соответствующих целей, показателей и результатов реализации федеральных проектов, входящих в состав национальных проектов (программ) (далее – региональный проект);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4) повышение эффективности и результативности бюджетных расходов за счет: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безусловного исполнения принятых бюджетных обязательств;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реализации мероприятий, направленных на обеспечение соблюдения условий и целей предоставления межбюджетных трансфертов из федерального бюджета, республиканского бюджета, своевременности и полноты их освоения;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поддержания оптимальных объемов и структуры расходов на реализацию функций и полномочий органов местного самоуправления Русско-Тювеевского сельского поселения Темниковского муниципального района Республики Мордовия, стимулирования их к поиску внутренних резервов и оптимизации бюджетных расходов, исключения дублирования функций и полномочий;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обеспечения соблюдения норматива формирования расходов на содержание органов местного самоуправления Русско-Тювеевского сельского поселения Темниковского муниципального района Республики Мордовия, установленного Правительством Республики Мордовия;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качества оказания муниципальных услуг (выполнения работ);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оптимизации расходов на содержание органов местного самоуправления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Русско-Тювеевского сельского поселения Темниковского муниципального района Республики Мордовия путем повышения эффективности использования муниципального имущества Русско-Тювеевского сельского поселения Темниковского муниципального района Республики Мордовия, находящегося в пользовании, включая рациональное использование занимаемых площадей, экономии на закупках товаров, работ и услуг для муниципальных нужд Русско-Тювеевского сельского поселения Темниковского муниципального района Республики Мордовия, в том числе за счет повышения эффективности процедур проведения закупок, предотвращения завышения начальных цен закупок, отказа от закупок товаров и услуг повышенной комфортности, расширения практики проведения совместных торгов;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активного привлечения муниципальными учреждениями Русско-Тювеевского сельского поселения Темниковского муниципального района Республики Мордовия внебюджетных ресурсов, средств от предпринимательской и иной приносящей доход деятельности;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обеспечения гибкости бюджетных процедур в случае изменения экономических условий или тактических приоритетов за счет повышения оперативности принятия решений в бюджетной сфере;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повышения операционной эффективности использования бюджетных средств с расширением практики использования механизмов казначейского сопровождения в соответствии с бюджетным законодательством;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применения предусмотренных федеральным законодательством конкурентных способов осуществления закупок товаров, работ и услуг для обеспечения муниципальных нужд Русско-Тювеевского сельского поселения Темниковского муниципального района Республики Мордовия, образующих экономию бюджетных средств при сохранении качественных характеристик приобретаемых товаров, работ и услуг;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обязательного применения единых федеральных стандартов внутреннего финансового аудита;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соблюдения финансовой дисциплины всеми главными распорядителями и получателями средств районного бюджета;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недопущения роста кредиторской и дебиторской задолженности районного бюджета, принятия мер по ликвидации сложившейся кредиторской и дебиторской задолженности районного бюджета;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проведения мероприятий по дальнейшей централизации функций по ведению бюджетного (бухгалтерского) учета и формированию отчетности;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5) обеспечение открытости и прозрачности бюджетного процесса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highlight w:val="yellow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6) повышение уровня финансовой грамотности населения Русско-Тювеевского сельского поселения Темниковского муниципального района Республики Мордовия;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7) осуществление мониторинга и контроля за эффективным использованием бюджетных средств;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8) обеспечение контроля за законностью, своевременностью, достижением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целей, показателей и результатов реализации региональных проектов и муниципальных программ Русско-Тювеевского сельского поселения Темниковского муниципального района Республики Мордовия.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E7481" w:rsidRPr="005E7481" w:rsidRDefault="005E7481" w:rsidP="005E7481">
      <w:pPr>
        <w:spacing w:before="108" w:after="108"/>
        <w:ind w:firstLine="0"/>
        <w:jc w:val="center"/>
        <w:outlineLvl w:val="0"/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b/>
          <w:bCs/>
          <w:sz w:val="28"/>
          <w:szCs w:val="28"/>
          <w:lang w:eastAsia="en-US"/>
        </w:rPr>
        <w:t>Основные направления налоговой политики Русско-Тювеевского сельского поселения Темниковского муниципального района Республики Мордовия на 2023 год и на плановый период 2024 и 2025 годов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Основные направления налоговой политики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на 2023 год и на плановый период 2024 и 2025 годов формируются в условиях изменения геополитической обстановки и реализации плана первоочередных действий по обеспечению развития российской экономики в условиях внешнего санкционного давления, разработанного Правительством Российской Федерации.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Приоритетом налоговой политики Русско-Тювеевского сельского поселения Темниковского муниципального района Республики Мордовия в среднесрочной перспективе является предотвращение влияния ухудшения экономической ситуации на развитие отраслей экономики, обеспечение стабильных налоговых условий для хозяйствующих субъектов, а также продолжение работы по укреплению доходной базы местного бюджета за счет наращивания стабильных доходных источников и мобилизации в бюджет имеющихся резервов, повышение эффективности стимулирующей функции налоговой системы и улучшение качества администрирования. 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Основными направлениями налоговой политики Русско-Тювеевского сельского поселения Темниковского муниципального Республики Мордовия в трехлетней перспективе являются: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оказание содействия среднему и малому бизнесу для развития предпринимательской деятельности;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обеспечение бюджетной, экономической и социальной эффективности налоговых расходов;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усиление мер по укреплению налоговой дисциплины налогоплательщиков;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расширения налоговой базы по имущественным налогам путем выявления и включения в налогооблагаемую базу недвижимого имущества и земельных участков, которые до настоящего времени не зарегистрированы.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 формировании основных направлений налоговой политики Русско-Тювеевского сельского поселения Темниковского муниципального района учтены внесенные изменения в республиканское и федеральное налоговое законодательство, которые были приняты для создания стабильных условий осуществления деятельности налогоплательщиков в период сложной экономической ситуации, связанной с введением санкций в отношении Российской Федерации.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1. Изменения, внесенные на федеральном уровне: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1) освобождение от уплаты налога на прибыль сельских домов и дворцов культуры, клубов, учредителями которых являются муниципальные образования;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2) освобождение от уплаты налога на доходы физических лиц с доходов по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вкладам (остатков на счетах) банков, полученных в 2021 и 2022 годах, а также материальной выгоды, полученной в 2022 и 2023 годах от экономии на процентах за пользование заемными (кредитными) средствами;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3) расчет налога на имущество и земельного налога за налоговый период 2023 года исходя из кадастровой стоимости по состоянию на 1 января 2022 года;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4) переход с 1 января 2023 г. на новый механизм уплаты налогов «единый налоговый счет». Суть механизма заключается в формировании единого сальдо расчетов между налогоплательщиком и государством. Предусмотрены единые сроки сдачи отчетности и уплаты налога. Предполагается, что данный подход исключит наличие у налогоплательщиков одновременно задолженности и переплаты по разным видам налогов. Новый способ расчета с государством коснется практически всех налогов, за исключением налога на доходы физических лиц для иностранцев, налога на профессиональный доход, государственной пошлины, сборов за пользование объектами животного мира и за пользование объектами водных биологических ресурсов;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5) продление до 1 января 2025 г. действия налоговых каникул в виде налоговой ставки в размере 0 процентов для физических лиц, впервые зарегистрированных в качестве индивидуальных предпринимателей, перешедших в течение двух лет со дня регистрации на упрощенную или патентную систему налогообложения;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6) увеличение с 1 января 2025 г. норматива зачисления акцизов на нефтепродукты в бюджеты субъектов Российской Федерации с 74,9 процента до 100 процентов.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2. В 2022 году для поддержки экономики наряду с федеральными мерами внесены изменения на региональном уровне.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В целях недопущения сокращения хозяйственной деятельности субъектов предпринимательской деятельности в условиях санкционного давления со стороны зарубежных государств, в том числе малого и среднего бизнеса максимально расширен перечень видов предпринимательской деятельности в производственной, социальной, научной сферах, а также в сфере бытовых услуг населению, в отношении которых в Республике Мордовия устанавливается налоговая ставка в размере 0 процентов, для впервые зарегистрированных налогоплательщиков в течение двух налоговых периодов со дня их регистрации. При этом применение льготы для вновь предусмотренных видов деятельности распространяется в отношении индивидуальных предпринимателей, осуществляющих данные виды деятельности, и зарегистрированных в период с 1 января по 31 декабря                  2022 г. включительно.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целях увеличения налогового потенциала республики и муниципальных образований за счет привлечения организаций и индивидуальных предпринимателей, впервые зарегистрированных на территории Республики Мордовия в связи с переменой ими места нахождения (места жительства), предусмотрено продление срока действия минимальных налоговых ставок по упрощенной системе налогообложения (5 процентов – если объектом налогообложения являются доходы, уменьшенные на величину расходов, и 1 процент – если объектом налогообложения являются доходы) для указанной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категории налогоплательщиков до 2024 года включительно. Кроме того, отменена основная часть условий предоставления налоговой льготы для налогоплательщиков – «мигрантов» (условия по уровню заработной платы и численности работников), условие по отсутствию недоимки по налогам в консолидированный бюджет Республики Мордовия и страховым взносам сохранено.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Налоговая политика района ориентирована на создание благоприятного режима налогообложения не только для субъектов предпринимательской деятельности и отраслей экономики, но и для отдельных категорий населения, нуждающихся в государственной поддержке.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3. Главной целью реализации налоговой политики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 является, с одной стороны, сохранение условий для постоянного роста экономики поселения, поддержка предпринимательской активности, с другой стороны, сохранение бюджетной устойчивости, получение необходимого объема доходов местного бюджета и обеспечение сбалансированности бюджета.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Для достижения поставленных целей в среднесрочной перспективе будет продолжена работа по совершенствованию механизмов взаимодействия органов местного самоуправления и территориальных органов федеральных органов исполнительной власти в части качественного администрирования доходных источников бюджетов и повышения уровня их собираемости, легализации налоговой базы, сокращения недоимки; организации работы с кураторами налоговых расходов</w:t>
      </w:r>
      <w:r w:rsidRPr="005E7481">
        <w:rPr>
          <w:rFonts w:ascii="Times New Roman" w:eastAsiaTheme="minorHAnsi" w:hAnsi="Times New Roman" w:cs="Times New Roman"/>
        </w:rPr>
        <w:t xml:space="preserve"> </w:t>
      </w: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Русско-Тювеевского сельского поселения Темниковского муниципального района Республики Мордовия.</w:t>
      </w:r>
    </w:p>
    <w:p w:rsidR="005E7481" w:rsidRPr="005E7481" w:rsidRDefault="005E7481" w:rsidP="005E7481">
      <w:pPr>
        <w:ind w:firstLine="709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Координация работы органов местного самоуправления по мобилизации доходов в местный бюджет будет осуществляться в рамках работы деятельности межведомственной рабочей группы Русско-Тювеевского сельского поселения Темниковского муниципального района Республики Мордовия.</w:t>
      </w:r>
    </w:p>
    <w:p w:rsidR="005E7481" w:rsidRPr="005E7481" w:rsidRDefault="005E7481" w:rsidP="005E7481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5E7481">
        <w:rPr>
          <w:rFonts w:ascii="Times New Roman" w:eastAsiaTheme="minorHAnsi" w:hAnsi="Times New Roman" w:cs="Times New Roman"/>
          <w:sz w:val="28"/>
          <w:szCs w:val="28"/>
          <w:lang w:eastAsia="en-US"/>
        </w:rPr>
        <w:t>Налоговая политика Русско-Тювеевского сельского поселения Темниковского муниципального района Республики Мордовия на 2023 – 2025 годы должна сохранить устойчивость бюджетной системы Русско-Тювеевского сельского поселения при привлечении всех возможных источников и инструментов финансового обеспечения задач, поставленных Правительством Республики Мордовия и органом местного самоуправления Русско-Тювеевского сельского поселения Темниковского муниципального района.</w:t>
      </w:r>
    </w:p>
    <w:p w:rsidR="005E7481" w:rsidRPr="00836D9E" w:rsidRDefault="005E7481" w:rsidP="005E7481">
      <w:pPr>
        <w:rPr>
          <w:rFonts w:eastAsiaTheme="minorHAnsi"/>
          <w:sz w:val="28"/>
          <w:szCs w:val="28"/>
          <w:lang w:eastAsia="en-US"/>
        </w:rPr>
      </w:pPr>
    </w:p>
    <w:p w:rsidR="005E7481" w:rsidRPr="00836D9E" w:rsidRDefault="005E7481" w:rsidP="005E7481">
      <w:pPr>
        <w:rPr>
          <w:rFonts w:eastAsiaTheme="minorHAnsi"/>
          <w:sz w:val="28"/>
          <w:szCs w:val="28"/>
          <w:lang w:eastAsia="en-US"/>
        </w:rPr>
      </w:pPr>
    </w:p>
    <w:p w:rsidR="005E7481" w:rsidRDefault="005E7481" w:rsidP="005E7481">
      <w:pPr>
        <w:ind w:firstLine="0"/>
        <w:jc w:val="center"/>
      </w:pPr>
    </w:p>
    <w:p w:rsidR="00133618" w:rsidRDefault="00133618" w:rsidP="00133618">
      <w:pPr>
        <w:ind w:firstLine="0"/>
      </w:pPr>
    </w:p>
    <w:p w:rsidR="006E3387" w:rsidRPr="00135F34" w:rsidRDefault="006E3387" w:rsidP="006E3387">
      <w:pPr>
        <w:shd w:val="clear" w:color="auto" w:fill="FFFFFF"/>
        <w:ind w:firstLine="709"/>
        <w:rPr>
          <w:color w:val="333333"/>
          <w:sz w:val="28"/>
          <w:szCs w:val="28"/>
        </w:rPr>
      </w:pPr>
      <w:r w:rsidRPr="00135F34">
        <w:rPr>
          <w:color w:val="333333"/>
          <w:sz w:val="28"/>
          <w:szCs w:val="28"/>
        </w:rPr>
        <w:t> </w:t>
      </w:r>
    </w:p>
    <w:p w:rsidR="00735CB6" w:rsidRDefault="00735CB6" w:rsidP="00326763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4A2AEB">
        <w:rPr>
          <w:rFonts w:ascii="Times New Roman" w:hAnsi="Times New Roman" w:cs="Times New Roman"/>
          <w:i/>
        </w:rPr>
        <w:t>8</w:t>
      </w:r>
      <w:r w:rsidR="005E7481">
        <w:rPr>
          <w:rFonts w:ascii="Times New Roman" w:hAnsi="Times New Roman" w:cs="Times New Roman"/>
          <w:i/>
        </w:rPr>
        <w:t>4</w:t>
      </w:r>
      <w:r>
        <w:rPr>
          <w:rFonts w:ascii="Times New Roman" w:hAnsi="Times New Roman" w:cs="Times New Roman"/>
          <w:i/>
        </w:rPr>
        <w:t xml:space="preserve"> от </w:t>
      </w:r>
      <w:r w:rsidR="00133618">
        <w:rPr>
          <w:rFonts w:ascii="Times New Roman" w:hAnsi="Times New Roman" w:cs="Times New Roman"/>
          <w:i/>
        </w:rPr>
        <w:t>14</w:t>
      </w:r>
      <w:r>
        <w:rPr>
          <w:rFonts w:ascii="Times New Roman" w:hAnsi="Times New Roman" w:cs="Times New Roman"/>
          <w:i/>
        </w:rPr>
        <w:t>.1</w:t>
      </w:r>
      <w:r w:rsidR="004A2AEB">
        <w:rPr>
          <w:rFonts w:ascii="Times New Roman" w:hAnsi="Times New Roman" w:cs="Times New Roman"/>
          <w:i/>
        </w:rPr>
        <w:t>1</w:t>
      </w:r>
      <w:r>
        <w:rPr>
          <w:rFonts w:ascii="Times New Roman" w:hAnsi="Times New Roman" w:cs="Times New Roman"/>
          <w:i/>
        </w:rPr>
        <w:t>.2022 года</w:t>
      </w:r>
    </w:p>
    <w:p w:rsidR="00735CB6" w:rsidRDefault="00326763" w:rsidP="00326763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7A259A">
      <w:pgSz w:w="11900" w:h="16800"/>
      <w:pgMar w:top="1134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1941" w:rsidRDefault="00741941" w:rsidP="007B1EBD">
      <w:r>
        <w:separator/>
      </w:r>
    </w:p>
  </w:endnote>
  <w:endnote w:type="continuationSeparator" w:id="1">
    <w:p w:rsidR="00741941" w:rsidRDefault="00741941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1941" w:rsidRDefault="00741941" w:rsidP="007B1EBD">
      <w:r>
        <w:separator/>
      </w:r>
    </w:p>
  </w:footnote>
  <w:footnote w:type="continuationSeparator" w:id="1">
    <w:p w:rsidR="00741941" w:rsidRDefault="00741941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15D8"/>
    <w:rsid w:val="000129A6"/>
    <w:rsid w:val="00015C14"/>
    <w:rsid w:val="00016587"/>
    <w:rsid w:val="00036F70"/>
    <w:rsid w:val="00071070"/>
    <w:rsid w:val="00080827"/>
    <w:rsid w:val="0009380F"/>
    <w:rsid w:val="000947AE"/>
    <w:rsid w:val="00097F0B"/>
    <w:rsid w:val="000A4DFD"/>
    <w:rsid w:val="000C00C8"/>
    <w:rsid w:val="000D6800"/>
    <w:rsid w:val="00110C14"/>
    <w:rsid w:val="00110F8C"/>
    <w:rsid w:val="0011379E"/>
    <w:rsid w:val="00133618"/>
    <w:rsid w:val="00133840"/>
    <w:rsid w:val="00141A25"/>
    <w:rsid w:val="00157867"/>
    <w:rsid w:val="00161347"/>
    <w:rsid w:val="0018068F"/>
    <w:rsid w:val="001828BF"/>
    <w:rsid w:val="0018361E"/>
    <w:rsid w:val="001A2ABA"/>
    <w:rsid w:val="002114D7"/>
    <w:rsid w:val="00211A64"/>
    <w:rsid w:val="00212154"/>
    <w:rsid w:val="0023458B"/>
    <w:rsid w:val="00235E29"/>
    <w:rsid w:val="00256CBB"/>
    <w:rsid w:val="00264C30"/>
    <w:rsid w:val="002669DA"/>
    <w:rsid w:val="002852D8"/>
    <w:rsid w:val="002956AA"/>
    <w:rsid w:val="002B0DEA"/>
    <w:rsid w:val="002B3A9F"/>
    <w:rsid w:val="002C06A9"/>
    <w:rsid w:val="002E27F6"/>
    <w:rsid w:val="002E2BB9"/>
    <w:rsid w:val="002E3BFC"/>
    <w:rsid w:val="002F39BE"/>
    <w:rsid w:val="00306AEC"/>
    <w:rsid w:val="00311FB1"/>
    <w:rsid w:val="00326763"/>
    <w:rsid w:val="00335212"/>
    <w:rsid w:val="003457B5"/>
    <w:rsid w:val="00346C95"/>
    <w:rsid w:val="00374C7B"/>
    <w:rsid w:val="0039083B"/>
    <w:rsid w:val="003927B5"/>
    <w:rsid w:val="00393C24"/>
    <w:rsid w:val="003A10BE"/>
    <w:rsid w:val="003D0E83"/>
    <w:rsid w:val="003E000B"/>
    <w:rsid w:val="003E257A"/>
    <w:rsid w:val="0041033A"/>
    <w:rsid w:val="00416FB5"/>
    <w:rsid w:val="00443FF1"/>
    <w:rsid w:val="00447618"/>
    <w:rsid w:val="00450E32"/>
    <w:rsid w:val="0045227A"/>
    <w:rsid w:val="004607E5"/>
    <w:rsid w:val="00465A57"/>
    <w:rsid w:val="00466F80"/>
    <w:rsid w:val="00487D9F"/>
    <w:rsid w:val="004A2AEB"/>
    <w:rsid w:val="004B0B38"/>
    <w:rsid w:val="004D193B"/>
    <w:rsid w:val="004D5113"/>
    <w:rsid w:val="004D791E"/>
    <w:rsid w:val="004E4E74"/>
    <w:rsid w:val="00500D69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E23DB"/>
    <w:rsid w:val="005E6B7E"/>
    <w:rsid w:val="005E7481"/>
    <w:rsid w:val="005E7DA5"/>
    <w:rsid w:val="005F00E8"/>
    <w:rsid w:val="005F188E"/>
    <w:rsid w:val="00623E20"/>
    <w:rsid w:val="0062430D"/>
    <w:rsid w:val="00643E03"/>
    <w:rsid w:val="00646199"/>
    <w:rsid w:val="00647E2E"/>
    <w:rsid w:val="00651DC3"/>
    <w:rsid w:val="00652C36"/>
    <w:rsid w:val="00682660"/>
    <w:rsid w:val="006846B8"/>
    <w:rsid w:val="00697B95"/>
    <w:rsid w:val="006B2C2C"/>
    <w:rsid w:val="006C1207"/>
    <w:rsid w:val="006E3387"/>
    <w:rsid w:val="006E51E1"/>
    <w:rsid w:val="00735CB6"/>
    <w:rsid w:val="007372B1"/>
    <w:rsid w:val="00741941"/>
    <w:rsid w:val="00750D93"/>
    <w:rsid w:val="00754746"/>
    <w:rsid w:val="00757EAA"/>
    <w:rsid w:val="0076421A"/>
    <w:rsid w:val="00767FA5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7F32D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1B56"/>
    <w:rsid w:val="0083719E"/>
    <w:rsid w:val="00846862"/>
    <w:rsid w:val="0087478E"/>
    <w:rsid w:val="008802AA"/>
    <w:rsid w:val="0088543A"/>
    <w:rsid w:val="008939EA"/>
    <w:rsid w:val="008956B3"/>
    <w:rsid w:val="00895E47"/>
    <w:rsid w:val="008B41E9"/>
    <w:rsid w:val="008C2486"/>
    <w:rsid w:val="008C2898"/>
    <w:rsid w:val="008E0592"/>
    <w:rsid w:val="008E261D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309BD"/>
    <w:rsid w:val="00931BE8"/>
    <w:rsid w:val="00937EF2"/>
    <w:rsid w:val="009421D2"/>
    <w:rsid w:val="009444DF"/>
    <w:rsid w:val="0094469D"/>
    <w:rsid w:val="009454DF"/>
    <w:rsid w:val="00952C45"/>
    <w:rsid w:val="0096023F"/>
    <w:rsid w:val="00960FF1"/>
    <w:rsid w:val="00965FBB"/>
    <w:rsid w:val="009A0448"/>
    <w:rsid w:val="009A3D9C"/>
    <w:rsid w:val="009B0481"/>
    <w:rsid w:val="009B11A9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57055"/>
    <w:rsid w:val="00A65754"/>
    <w:rsid w:val="00A66720"/>
    <w:rsid w:val="00A678B5"/>
    <w:rsid w:val="00A678ED"/>
    <w:rsid w:val="00A77023"/>
    <w:rsid w:val="00A93DD5"/>
    <w:rsid w:val="00A94DEB"/>
    <w:rsid w:val="00A95F45"/>
    <w:rsid w:val="00AA4983"/>
    <w:rsid w:val="00AB4AEE"/>
    <w:rsid w:val="00AB4BDC"/>
    <w:rsid w:val="00AC0BA2"/>
    <w:rsid w:val="00AC6560"/>
    <w:rsid w:val="00AE4E00"/>
    <w:rsid w:val="00B0545E"/>
    <w:rsid w:val="00B36BAC"/>
    <w:rsid w:val="00B375EB"/>
    <w:rsid w:val="00B4326C"/>
    <w:rsid w:val="00B5343F"/>
    <w:rsid w:val="00B73D21"/>
    <w:rsid w:val="00B85912"/>
    <w:rsid w:val="00B91618"/>
    <w:rsid w:val="00BA04C4"/>
    <w:rsid w:val="00BA4796"/>
    <w:rsid w:val="00BA5A50"/>
    <w:rsid w:val="00BB6B61"/>
    <w:rsid w:val="00BC0563"/>
    <w:rsid w:val="00BC2443"/>
    <w:rsid w:val="00BD3589"/>
    <w:rsid w:val="00BE6FCB"/>
    <w:rsid w:val="00C00700"/>
    <w:rsid w:val="00C00B95"/>
    <w:rsid w:val="00C02D24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B0F4F"/>
    <w:rsid w:val="00CC08ED"/>
    <w:rsid w:val="00CC10DB"/>
    <w:rsid w:val="00CC4681"/>
    <w:rsid w:val="00CD3960"/>
    <w:rsid w:val="00CE2A7F"/>
    <w:rsid w:val="00CE76DD"/>
    <w:rsid w:val="00CF439C"/>
    <w:rsid w:val="00CF6D58"/>
    <w:rsid w:val="00D15179"/>
    <w:rsid w:val="00D312C0"/>
    <w:rsid w:val="00D353EC"/>
    <w:rsid w:val="00D436C1"/>
    <w:rsid w:val="00D440A2"/>
    <w:rsid w:val="00D55431"/>
    <w:rsid w:val="00D652B8"/>
    <w:rsid w:val="00D66C6F"/>
    <w:rsid w:val="00D708F7"/>
    <w:rsid w:val="00D72C10"/>
    <w:rsid w:val="00D74C5D"/>
    <w:rsid w:val="00D829EF"/>
    <w:rsid w:val="00D82EC8"/>
    <w:rsid w:val="00D838A9"/>
    <w:rsid w:val="00D84443"/>
    <w:rsid w:val="00D84613"/>
    <w:rsid w:val="00DA7E78"/>
    <w:rsid w:val="00DE77D6"/>
    <w:rsid w:val="00DF5831"/>
    <w:rsid w:val="00E06488"/>
    <w:rsid w:val="00E06A9D"/>
    <w:rsid w:val="00E0706A"/>
    <w:rsid w:val="00E2154A"/>
    <w:rsid w:val="00E25C9B"/>
    <w:rsid w:val="00E31520"/>
    <w:rsid w:val="00E316A3"/>
    <w:rsid w:val="00E43050"/>
    <w:rsid w:val="00E456E7"/>
    <w:rsid w:val="00E50AA2"/>
    <w:rsid w:val="00E55BFA"/>
    <w:rsid w:val="00E60962"/>
    <w:rsid w:val="00E67064"/>
    <w:rsid w:val="00E75D9D"/>
    <w:rsid w:val="00E937C3"/>
    <w:rsid w:val="00E9550F"/>
    <w:rsid w:val="00EA145E"/>
    <w:rsid w:val="00EA2454"/>
    <w:rsid w:val="00EB00C6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51FDB"/>
    <w:rsid w:val="00F56BFB"/>
    <w:rsid w:val="00F6184F"/>
    <w:rsid w:val="00F6719E"/>
    <w:rsid w:val="00F73159"/>
    <w:rsid w:val="00F95F37"/>
    <w:rsid w:val="00FA0D40"/>
    <w:rsid w:val="00FB122D"/>
    <w:rsid w:val="00FB1A88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6A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2956AA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2956AA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2956AA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2956AA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2956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2956AA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2956AA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2956AA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2956AA"/>
    <w:rPr>
      <w:b/>
      <w:color w:val="26282F"/>
    </w:rPr>
  </w:style>
  <w:style w:type="character" w:customStyle="1" w:styleId="a4">
    <w:name w:val="Гипертекстовая ссылка"/>
    <w:uiPriority w:val="99"/>
    <w:rsid w:val="002956AA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2956AA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2956AA"/>
  </w:style>
  <w:style w:type="paragraph" w:customStyle="1" w:styleId="a8">
    <w:name w:val="Внимание: недобросовестность!"/>
    <w:basedOn w:val="a6"/>
    <w:next w:val="a"/>
    <w:uiPriority w:val="99"/>
    <w:rsid w:val="002956AA"/>
  </w:style>
  <w:style w:type="character" w:customStyle="1" w:styleId="a9">
    <w:name w:val="Выделение для Базового Поиска"/>
    <w:uiPriority w:val="99"/>
    <w:rsid w:val="002956AA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2956AA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2956AA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2956AA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2956AA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2956AA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2956AA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2956AA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2956AA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2956AA"/>
    <w:pPr>
      <w:ind w:left="1612" w:hanging="892"/>
    </w:pPr>
  </w:style>
  <w:style w:type="character" w:customStyle="1" w:styleId="af3">
    <w:name w:val="Заголовок чужого сообщения"/>
    <w:uiPriority w:val="99"/>
    <w:rsid w:val="002956AA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2956AA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2956AA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2956AA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2956AA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2956A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2956AA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2956A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2956AA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2956AA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2956AA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2956AA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2956AA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2956AA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2956AA"/>
  </w:style>
  <w:style w:type="paragraph" w:customStyle="1" w:styleId="aff2">
    <w:name w:val="Моноширинный"/>
    <w:basedOn w:val="a"/>
    <w:next w:val="a"/>
    <w:uiPriority w:val="99"/>
    <w:rsid w:val="002956AA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2956AA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2956AA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2956AA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2956AA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2956AA"/>
    <w:pPr>
      <w:ind w:firstLine="0"/>
    </w:pPr>
  </w:style>
  <w:style w:type="paragraph" w:customStyle="1" w:styleId="aff8">
    <w:name w:val="Таблицы (моноширинный)"/>
    <w:basedOn w:val="a"/>
    <w:next w:val="a"/>
    <w:rsid w:val="002956AA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2956AA"/>
    <w:pPr>
      <w:ind w:left="140"/>
    </w:pPr>
  </w:style>
  <w:style w:type="character" w:customStyle="1" w:styleId="affa">
    <w:name w:val="Опечатки"/>
    <w:uiPriority w:val="99"/>
    <w:rsid w:val="002956AA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2956AA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2956AA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2956AA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2956AA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2956AA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2956AA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2956AA"/>
  </w:style>
  <w:style w:type="paragraph" w:customStyle="1" w:styleId="afff2">
    <w:name w:val="Примечание."/>
    <w:basedOn w:val="a6"/>
    <w:next w:val="a"/>
    <w:uiPriority w:val="99"/>
    <w:rsid w:val="002956AA"/>
  </w:style>
  <w:style w:type="character" w:customStyle="1" w:styleId="afff3">
    <w:name w:val="Продолжение ссылки"/>
    <w:uiPriority w:val="99"/>
    <w:rsid w:val="002956AA"/>
  </w:style>
  <w:style w:type="paragraph" w:customStyle="1" w:styleId="afff4">
    <w:name w:val="Словарная статья"/>
    <w:basedOn w:val="a"/>
    <w:next w:val="a"/>
    <w:uiPriority w:val="99"/>
    <w:rsid w:val="002956AA"/>
    <w:pPr>
      <w:ind w:right="118" w:firstLine="0"/>
    </w:pPr>
  </w:style>
  <w:style w:type="character" w:customStyle="1" w:styleId="afff5">
    <w:name w:val="Сравнение редакций"/>
    <w:uiPriority w:val="99"/>
    <w:rsid w:val="002956AA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2956AA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2956AA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2956AA"/>
  </w:style>
  <w:style w:type="character" w:customStyle="1" w:styleId="afff9">
    <w:name w:val="Ссылка на утративший силу документ"/>
    <w:uiPriority w:val="99"/>
    <w:rsid w:val="002956AA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2956AA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2956AA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2956AA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2956AA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2956AA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2956A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2956AA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uiPriority w:val="99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uiPriority w:val="34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paragraph" w:styleId="31">
    <w:name w:val="Body Text Indent 3"/>
    <w:basedOn w:val="a"/>
    <w:link w:val="32"/>
    <w:uiPriority w:val="99"/>
    <w:rsid w:val="00CC10DB"/>
    <w:pPr>
      <w:widowControl/>
      <w:autoSpaceDE/>
      <w:autoSpaceDN/>
      <w:adjustRightInd/>
      <w:spacing w:after="120"/>
      <w:ind w:left="283" w:firstLine="0"/>
      <w:jc w:val="left"/>
    </w:pPr>
    <w:rPr>
      <w:rFonts w:ascii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C10DB"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00850014/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garantF1://12012604.1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02D7E-F6DA-403F-8F6E-C612EBF85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2649</Words>
  <Characters>15104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17718</CharactersWithSpaces>
  <SharedDoc>false</SharedDoc>
  <HLinks>
    <vt:vector size="30" baseType="variant">
      <vt:variant>
        <vt:i4>1376348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consultantplus://offline/ref=A5F49694AAF0F2E8E2A5E8545539AB603722CBEF47F8010B4024BB6C2D8935B8711E02D5349A5A1E6F0188F14E676A051D0B648FA6lCACH</vt:lpwstr>
      </vt:variant>
      <vt:variant>
        <vt:lpwstr/>
      </vt:variant>
      <vt:variant>
        <vt:i4>2621502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consultantplus://offline/ref=A5F49694AAF0F2E8E2A5E8545539AB603722CBEF47F8010B4024BB6C2D8935B8711E02DD339A554A3B4E89AD0A3A7905120B6688BACFFF82lCAFH</vt:lpwstr>
      </vt:variant>
      <vt:variant>
        <vt:lpwstr/>
      </vt:variant>
      <vt:variant>
        <vt:i4>1376343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consultantplus://offline/ref=A5F49694AAF0F2E8E2A5E8545539AB603722CBEF47F8010B4024BB6C2D8935B8711E02D9379E5A1E6F0188F14E676A051D0B648FA6lCACH</vt:lpwstr>
      </vt:variant>
      <vt:variant>
        <vt:lpwstr/>
      </vt:variant>
      <vt:variant>
        <vt:i4>627908947</vt:i4>
      </vt:variant>
      <vt:variant>
        <vt:i4>3</vt:i4>
      </vt:variant>
      <vt:variant>
        <vt:i4>0</vt:i4>
      </vt:variant>
      <vt:variant>
        <vt:i4>5</vt:i4>
      </vt:variant>
      <vt:variant>
        <vt:lpwstr>../../../Работа 2022г/Протоколы сессий и решения к ним/Решение №48 о внесении изменений в устав №14.doc</vt:lpwstr>
      </vt:variant>
      <vt:variant>
        <vt:lpwstr>Par0</vt:lpwstr>
      </vt:variant>
      <vt:variant>
        <vt:i4>2555957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consultantplus://offline/ref=EC42EED9385792AC37EEFFFC1033302E501848AC0188778F31C1BE3F6CFE974FABC739BCB24C390DD978A9BB060ED3A995154845L7nCK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4</cp:revision>
  <cp:lastPrinted>2022-06-22T12:42:00Z</cp:lastPrinted>
  <dcterms:created xsi:type="dcterms:W3CDTF">2022-11-15T08:50:00Z</dcterms:created>
  <dcterms:modified xsi:type="dcterms:W3CDTF">2022-11-22T07:15:00Z</dcterms:modified>
</cp:coreProperties>
</file>