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F33B1F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32358E">
        <w:rPr>
          <w:rFonts w:ascii="Times New Roman" w:hAnsi="Times New Roman" w:cs="Times New Roman"/>
          <w:sz w:val="28"/>
          <w:szCs w:val="28"/>
        </w:rPr>
        <w:t>6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ED744F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>2814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F33B1F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32358E" w:rsidRPr="0032358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F33B1F">
        <w:rPr>
          <w:rFonts w:ascii="Times New Roman" w:eastAsia="Times New Roman" w:hAnsi="Times New Roman" w:cs="Times New Roman"/>
          <w:color w:val="000000"/>
          <w:sz w:val="28"/>
          <w:szCs w:val="28"/>
        </w:rPr>
        <w:t>39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принадлежащий на право собственности Ялышеву Шамилю Хусяиновичу, 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Центральная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33B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C444A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1299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134</cp:revision>
  <cp:lastPrinted>2023-06-26T08:53:00Z</cp:lastPrinted>
  <dcterms:created xsi:type="dcterms:W3CDTF">2017-03-24T13:02:00Z</dcterms:created>
  <dcterms:modified xsi:type="dcterms:W3CDTF">2023-06-26T10:20:00Z</dcterms:modified>
</cp:coreProperties>
</file>