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4B" w:rsidRDefault="004C5E4B" w:rsidP="004C5E4B">
      <w:pPr>
        <w:pStyle w:val="a5"/>
        <w:shd w:val="clear" w:color="auto" w:fill="FFF7C9"/>
        <w:spacing w:before="150" w:beforeAutospacing="0" w:after="0" w:afterAutospacing="0"/>
        <w:ind w:firstLine="225"/>
        <w:jc w:val="center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b/>
          <w:bCs/>
          <w:color w:val="333333"/>
          <w:sz w:val="19"/>
          <w:szCs w:val="19"/>
        </w:rPr>
        <w:t>Личный кабинет плательщика.</w:t>
      </w:r>
    </w:p>
    <w:p w:rsidR="004C5E4B" w:rsidRDefault="004C5E4B" w:rsidP="004C5E4B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</w:rPr>
        <w:t>Личный кабинет плательщика предназначен для всех категорий плательщиков страховых взносов. Личный кабинет позволяет страхователю экономить время на подготовку и сдачу отчетности в ПФР, осуществлять дистанционную сверку платежей, расчетов и осуществлять безошибочные платежи в ПФР. Кабинет включает в себя следующие сервисы: платежи, справки о состоянии расчетов, платежные поручения, проверка РСВ-1, расчет взносов, квитанции, справочную информацию, бесплатные программы, отправку отзывов, сообщений и др.</w:t>
      </w:r>
    </w:p>
    <w:p w:rsidR="004C5E4B" w:rsidRDefault="004C5E4B" w:rsidP="004C5E4B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</w:rPr>
        <w:t>ПФР приглашает всех плательщиков страховых взносов воспользоваться указанными услугами. Для подключения к кабинету необходимо пройти предварительную регистрацию на официальном сайте пенсионного фонда, подав заявку с указанием регистрационного номера в ПФР, ИНН, контактного адреса электронной почты или обратившись лично в территориальный орган ПФР по месту регистрации в качестве плательщика страховых взносов.</w:t>
      </w:r>
    </w:p>
    <w:p w:rsidR="00CF0813" w:rsidRDefault="004C5E4B" w:rsidP="004C5E4B">
      <w:pPr>
        <w:jc w:val="both"/>
      </w:pPr>
      <w:r>
        <w:rPr>
          <w:rFonts w:ascii="Tahoma" w:hAnsi="Tahoma" w:cs="Tahoma"/>
          <w:color w:val="333333"/>
        </w:rPr>
        <w:t xml:space="preserve">Более подробную информацию можно получить в УПФР в </w:t>
      </w:r>
      <w:proofErr w:type="spellStart"/>
      <w:r>
        <w:rPr>
          <w:rFonts w:ascii="Tahoma" w:hAnsi="Tahoma" w:cs="Tahoma"/>
          <w:color w:val="333333"/>
        </w:rPr>
        <w:t>Темниковском</w:t>
      </w:r>
      <w:proofErr w:type="spellEnd"/>
      <w:r>
        <w:rPr>
          <w:rFonts w:ascii="Tahoma" w:hAnsi="Tahoma" w:cs="Tahoma"/>
          <w:color w:val="333333"/>
        </w:rPr>
        <w:t xml:space="preserve"> районе РМ, </w:t>
      </w:r>
      <w:proofErr w:type="gramStart"/>
      <w:r>
        <w:rPr>
          <w:rFonts w:ascii="Tahoma" w:hAnsi="Tahoma" w:cs="Tahoma"/>
          <w:color w:val="333333"/>
        </w:rPr>
        <w:t>по</w:t>
      </w:r>
      <w:proofErr w:type="gramEnd"/>
      <w:r>
        <w:rPr>
          <w:rFonts w:ascii="Tahoma" w:hAnsi="Tahoma" w:cs="Tahoma"/>
          <w:color w:val="333333"/>
        </w:rPr>
        <w:t xml:space="preserve">  тел.2-27-40</w:t>
      </w:r>
    </w:p>
    <w:sectPr w:rsidR="00CF0813" w:rsidSect="00CF0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5E4B"/>
    <w:rsid w:val="000403C0"/>
    <w:rsid w:val="004C5E4B"/>
    <w:rsid w:val="009E48E2"/>
    <w:rsid w:val="00A70F0B"/>
    <w:rsid w:val="00C629BE"/>
    <w:rsid w:val="00CF0813"/>
    <w:rsid w:val="00EA7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03C0"/>
    <w:rPr>
      <w:b/>
      <w:bCs/>
    </w:rPr>
  </w:style>
  <w:style w:type="character" w:styleId="a4">
    <w:name w:val="Emphasis"/>
    <w:basedOn w:val="a0"/>
    <w:uiPriority w:val="20"/>
    <w:qFormat/>
    <w:rsid w:val="000403C0"/>
    <w:rPr>
      <w:i/>
      <w:iCs/>
    </w:rPr>
  </w:style>
  <w:style w:type="paragraph" w:styleId="a5">
    <w:name w:val="Normal (Web)"/>
    <w:basedOn w:val="a"/>
    <w:uiPriority w:val="99"/>
    <w:semiHidden/>
    <w:unhideWhenUsed/>
    <w:rsid w:val="004C5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2015-12-10T02:04:00Z</dcterms:created>
  <dcterms:modified xsi:type="dcterms:W3CDTF">2015-12-10T02:06:00Z</dcterms:modified>
</cp:coreProperties>
</file>